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766F6" w14:textId="2A95C51B" w:rsidR="00C65C8C" w:rsidRPr="00A03C81" w:rsidRDefault="00B522A3" w:rsidP="00B27119">
      <w:pPr>
        <w:pStyle w:val="Headline"/>
        <w:pBdr>
          <w:bottom w:val="single" w:sz="4" w:space="7" w:color="000000" w:themeColor="text1"/>
        </w:pBdr>
      </w:pPr>
      <w:r>
        <w:t>Self-assessment questions</w:t>
      </w:r>
    </w:p>
    <w:p w14:paraId="13F2ED43" w14:textId="07DA511D" w:rsidR="00353F41" w:rsidRPr="00353F41" w:rsidRDefault="00867FBF" w:rsidP="00CE2B43">
      <w:pPr>
        <w:pStyle w:val="Heading10"/>
        <w:spacing w:after="240"/>
        <w:ind w:right="-472"/>
        <w:rPr>
          <w:rFonts w:eastAsiaTheme="majorEastAsia"/>
          <w:color w:val="002060"/>
        </w:rPr>
      </w:pPr>
      <w:r>
        <w:rPr>
          <w:rFonts w:eastAsiaTheme="majorEastAsia"/>
          <w:color w:val="002060"/>
        </w:rPr>
        <w:t xml:space="preserve">Systemic </w:t>
      </w:r>
      <w:r w:rsidR="00D53C1F">
        <w:rPr>
          <w:rFonts w:eastAsiaTheme="majorEastAsia"/>
          <w:color w:val="002060"/>
        </w:rPr>
        <w:t>risks in the Australian architecture sector</w:t>
      </w:r>
      <w:r>
        <w:rPr>
          <w:rFonts w:eastAsiaTheme="majorEastAsia"/>
          <w:color w:val="002060"/>
        </w:rPr>
        <w:t xml:space="preserve"> – i</w:t>
      </w:r>
      <w:r>
        <w:rPr>
          <w:rFonts w:eastAsiaTheme="majorEastAsia"/>
          <w:color w:val="002060"/>
        </w:rPr>
        <w:t xml:space="preserve">nsights from </w:t>
      </w:r>
      <w:r>
        <w:rPr>
          <w:rFonts w:eastAsiaTheme="majorEastAsia"/>
          <w:color w:val="002060"/>
        </w:rPr>
        <w:t xml:space="preserve">2024 </w:t>
      </w:r>
      <w:r>
        <w:rPr>
          <w:rFonts w:eastAsiaTheme="majorEastAsia"/>
          <w:color w:val="002060"/>
        </w:rPr>
        <w:t>focus groups</w:t>
      </w:r>
    </w:p>
    <w:p w14:paraId="1C824006" w14:textId="0016F697" w:rsidR="00A03C81" w:rsidRDefault="00A03C81" w:rsidP="00D53C1F">
      <w:pPr>
        <w:pStyle w:val="BodyText"/>
        <w:spacing w:after="240"/>
      </w:pPr>
      <w:r>
        <w:t>This session is equivalent to 1.0 hour</w:t>
      </w:r>
      <w:r w:rsidR="00CE013C">
        <w:t xml:space="preserve"> of</w:t>
      </w:r>
      <w:r>
        <w:t xml:space="preserve"> Formal CPD</w:t>
      </w:r>
      <w:r w:rsidR="00541ABA">
        <w:t>.</w:t>
      </w:r>
    </w:p>
    <w:p w14:paraId="5BFFFE2D" w14:textId="3852D581" w:rsidR="00867FBF" w:rsidRDefault="00867FBF" w:rsidP="00867FBF">
      <w:pPr>
        <w:pStyle w:val="BodyText"/>
      </w:pPr>
      <w:r>
        <w:t>In 2024, the NSW Architects Registration Board (NSW ARB) partnered with the Architects Registration Board of Victoria (ARBV) to interrogate</w:t>
      </w:r>
      <w:r w:rsidR="006E2093">
        <w:t xml:space="preserve"> the</w:t>
      </w:r>
      <w:r>
        <w:t xml:space="preserve"> </w:t>
      </w:r>
      <w:hyperlink r:id="rId8" w:history="1">
        <w:r w:rsidRPr="007F3EB6">
          <w:rPr>
            <w:rStyle w:val="Hyperlink"/>
          </w:rPr>
          <w:t>2022 research findings</w:t>
        </w:r>
      </w:hyperlink>
      <w:r>
        <w:t xml:space="preserve"> on systemic compliance issues and associated risks affecting regulation of the architecture profession in Australia. A series of focus groups were conducted with NSW and Victorian representatives from across the sector, including architects, industry bodies, clients, developers, builders, building surveyors, insurers, academics, government agencies and other regulatory bodies. The focus groups were structured as “deep dives” on key themes including:</w:t>
      </w:r>
    </w:p>
    <w:p w14:paraId="06C6F4AB" w14:textId="77777777" w:rsidR="00867FBF" w:rsidRDefault="00867FBF" w:rsidP="00867FBF">
      <w:pPr>
        <w:pStyle w:val="BodyText"/>
        <w:numPr>
          <w:ilvl w:val="0"/>
          <w:numId w:val="27"/>
        </w:numPr>
        <w:ind w:left="714" w:hanging="357"/>
      </w:pPr>
      <w:r>
        <w:t>client-architect relationships and agreements</w:t>
      </w:r>
    </w:p>
    <w:p w14:paraId="19A50250" w14:textId="77777777" w:rsidR="00867FBF" w:rsidRDefault="00867FBF" w:rsidP="00867FBF">
      <w:pPr>
        <w:pStyle w:val="BodyText"/>
        <w:numPr>
          <w:ilvl w:val="0"/>
          <w:numId w:val="27"/>
        </w:numPr>
        <w:ind w:left="714" w:hanging="357"/>
      </w:pPr>
      <w:r>
        <w:t>design and construct (D &amp; C) procurement</w:t>
      </w:r>
    </w:p>
    <w:p w14:paraId="6A5687C2" w14:textId="77777777" w:rsidR="00867FBF" w:rsidRDefault="00867FBF" w:rsidP="00867FBF">
      <w:pPr>
        <w:pStyle w:val="BodyText"/>
        <w:numPr>
          <w:ilvl w:val="0"/>
          <w:numId w:val="27"/>
        </w:numPr>
        <w:ind w:left="714" w:hanging="357"/>
      </w:pPr>
      <w:r>
        <w:t>compliance with the National Construction Code (</w:t>
      </w:r>
      <w:proofErr w:type="spellStart"/>
      <w:r>
        <w:t>NCC</w:t>
      </w:r>
      <w:proofErr w:type="spellEnd"/>
      <w:r>
        <w:t xml:space="preserve">), and </w:t>
      </w:r>
    </w:p>
    <w:p w14:paraId="14A30F5F" w14:textId="77777777" w:rsidR="00867FBF" w:rsidRDefault="00867FBF" w:rsidP="00867FBF">
      <w:pPr>
        <w:pStyle w:val="BodyText"/>
        <w:numPr>
          <w:ilvl w:val="0"/>
          <w:numId w:val="27"/>
        </w:numPr>
        <w:spacing w:after="240"/>
        <w:ind w:left="714" w:hanging="357"/>
      </w:pPr>
      <w:r>
        <w:t xml:space="preserve">disruptive change.  </w:t>
      </w:r>
    </w:p>
    <w:p w14:paraId="4E916695" w14:textId="77777777" w:rsidR="00867FBF" w:rsidRDefault="00867FBF" w:rsidP="00867FBF">
      <w:pPr>
        <w:pStyle w:val="BodyText"/>
        <w:spacing w:after="240"/>
      </w:pPr>
      <w:r>
        <w:t>The final report,</w:t>
      </w:r>
      <w:r w:rsidRPr="00D53C1F">
        <w:rPr>
          <w:i/>
          <w:iCs/>
        </w:rPr>
        <w:t xml:space="preserve"> </w:t>
      </w:r>
      <w:r w:rsidRPr="008A4879">
        <w:rPr>
          <w:b/>
          <w:bCs/>
          <w:i/>
          <w:iCs/>
        </w:rPr>
        <w:t>Deep Dive into Systemic Risks in the Australian Architecture Sector</w:t>
      </w:r>
      <w:r>
        <w:t xml:space="preserve">, is available to download from the Resource library on the NSW ARB website </w:t>
      </w:r>
      <w:hyperlink r:id="rId9" w:history="1">
        <w:r w:rsidRPr="008A4879">
          <w:rPr>
            <w:rStyle w:val="Hyperlink"/>
            <w:b/>
            <w:bCs/>
          </w:rPr>
          <w:t>here</w:t>
        </w:r>
      </w:hyperlink>
      <w:r>
        <w:t xml:space="preserve">. A one page overview is </w:t>
      </w:r>
      <w:hyperlink r:id="rId10" w:history="1">
        <w:r w:rsidRPr="00DB2E48">
          <w:rPr>
            <w:rStyle w:val="Hyperlink"/>
          </w:rPr>
          <w:t>here</w:t>
        </w:r>
      </w:hyperlink>
      <w:r>
        <w:t>.</w:t>
      </w:r>
    </w:p>
    <w:p w14:paraId="3B194F60" w14:textId="77777777" w:rsidR="00867FBF" w:rsidRDefault="00867FBF" w:rsidP="00867FBF">
      <w:pPr>
        <w:pStyle w:val="BodyText"/>
        <w:spacing w:after="240"/>
      </w:pPr>
      <w:r>
        <w:t>This webinar presents the the findings of the focus group “deep dives” and is designed to provide some guidance on the proactive steps that architects can take to mitigate their exposure to risks and liability.</w:t>
      </w:r>
    </w:p>
    <w:p w14:paraId="0BBC0631" w14:textId="76162EC3" w:rsidR="00A03C81" w:rsidRDefault="00353F41" w:rsidP="00D53C1F">
      <w:pPr>
        <w:pStyle w:val="BodyText"/>
        <w:spacing w:after="240"/>
      </w:pPr>
      <w:r>
        <w:t>It</w:t>
      </w:r>
      <w:r w:rsidR="00A03C81">
        <w:t xml:space="preserve"> delivers learning outcomes related to the following Performance Criterion from the </w:t>
      </w:r>
      <w:hyperlink r:id="rId11" w:history="1">
        <w:r w:rsidR="00A03C81" w:rsidRPr="00541ABA">
          <w:rPr>
            <w:rStyle w:val="Hyperlink"/>
          </w:rPr>
          <w:t>2021 National Standard of Competency for Architects</w:t>
        </w:r>
      </w:hyperlink>
      <w:r w:rsidR="00A03C81">
        <w:t>:</w:t>
      </w:r>
    </w:p>
    <w:p w14:paraId="13A4751F" w14:textId="5D030276" w:rsidR="003D4F36" w:rsidRPr="00867FBF" w:rsidRDefault="00A03C81" w:rsidP="00867FBF">
      <w:pPr>
        <w:pStyle w:val="BodyText"/>
        <w:ind w:left="993" w:hanging="567"/>
        <w:rPr>
          <w:b/>
          <w:bCs/>
          <w:color w:val="002060"/>
        </w:rPr>
      </w:pPr>
      <w:r w:rsidRPr="009A1CCF">
        <w:rPr>
          <w:b/>
          <w:bCs/>
          <w:color w:val="002060"/>
        </w:rPr>
        <w:t>PC 1</w:t>
      </w:r>
      <w:r w:rsidRPr="009A1CCF">
        <w:rPr>
          <w:b/>
          <w:bCs/>
          <w:color w:val="002060"/>
        </w:rPr>
        <w:tab/>
        <w:t>Comply with the regulatory requirements and obligations pertaining to practice as an architect, including legislation, professional codes of conduct, obligations for continuing professional development and professional indemnity insurance.</w:t>
      </w:r>
    </w:p>
    <w:p w14:paraId="23B3C898" w14:textId="77777777" w:rsidR="00867FBF" w:rsidRPr="00B522A3" w:rsidRDefault="00867FBF" w:rsidP="00867FBF">
      <w:pPr>
        <w:pStyle w:val="Heading2"/>
        <w:spacing w:before="480" w:after="120" w:line="276" w:lineRule="auto"/>
        <w:rPr>
          <w:rFonts w:ascii="Public Sans" w:hAnsi="Public Sans"/>
          <w:b/>
          <w:color w:val="002060"/>
        </w:rPr>
      </w:pPr>
      <w:r>
        <w:rPr>
          <w:rFonts w:ascii="Public Sans" w:hAnsi="Public Sans"/>
          <w:b/>
          <w:color w:val="002060"/>
        </w:rPr>
        <w:t>Certificate of completion</w:t>
      </w:r>
    </w:p>
    <w:p w14:paraId="43233C2C" w14:textId="2AC2C91E" w:rsidR="00867FBF" w:rsidRDefault="00867FBF" w:rsidP="00867FBF">
      <w:pPr>
        <w:spacing w:after="120" w:line="276" w:lineRule="auto"/>
        <w:rPr>
          <w:rFonts w:ascii="Public Sans Light" w:hAnsi="Public Sans Light" w:cs="Times New Roman (Body CS)"/>
          <w:sz w:val="20"/>
        </w:rPr>
      </w:pPr>
      <w:r>
        <w:rPr>
          <w:rFonts w:ascii="Public Sans Light" w:hAnsi="Public Sans Light" w:cs="Times New Roman (Body CS)"/>
          <w:sz w:val="20"/>
        </w:rPr>
        <w:t xml:space="preserve">The </w:t>
      </w:r>
      <w:r>
        <w:rPr>
          <w:rFonts w:ascii="Public Sans Light" w:hAnsi="Public Sans Light" w:cs="Times New Roman (Body CS)"/>
          <w:sz w:val="20"/>
        </w:rPr>
        <w:t xml:space="preserve">NSW ARB </w:t>
      </w:r>
      <w:r w:rsidRPr="00B522A3">
        <w:rPr>
          <w:rFonts w:ascii="Public Sans Light" w:hAnsi="Public Sans Light" w:cs="Times New Roman (Body CS)"/>
          <w:sz w:val="20"/>
        </w:rPr>
        <w:t xml:space="preserve">will </w:t>
      </w:r>
      <w:r>
        <w:rPr>
          <w:rFonts w:ascii="Public Sans Light" w:hAnsi="Public Sans Light" w:cs="Times New Roman (Body CS)"/>
          <w:sz w:val="20"/>
        </w:rPr>
        <w:t xml:space="preserve">email you </w:t>
      </w:r>
      <w:r w:rsidRPr="00B522A3">
        <w:rPr>
          <w:rFonts w:ascii="Public Sans Light" w:hAnsi="Public Sans Light" w:cs="Times New Roman (Body CS)"/>
          <w:sz w:val="20"/>
        </w:rPr>
        <w:t xml:space="preserve">a </w:t>
      </w:r>
      <w:r>
        <w:rPr>
          <w:rFonts w:ascii="Public Sans Light" w:hAnsi="Public Sans Light" w:cs="Times New Roman (Body CS)"/>
          <w:sz w:val="20"/>
        </w:rPr>
        <w:t>c</w:t>
      </w:r>
      <w:r w:rsidRPr="00B522A3">
        <w:rPr>
          <w:rFonts w:ascii="Public Sans Light" w:hAnsi="Public Sans Light" w:cs="Times New Roman (Body CS)"/>
          <w:sz w:val="20"/>
        </w:rPr>
        <w:t xml:space="preserve">ertificate of </w:t>
      </w:r>
      <w:r>
        <w:rPr>
          <w:rFonts w:ascii="Public Sans Light" w:hAnsi="Public Sans Light" w:cs="Times New Roman (Body CS)"/>
          <w:sz w:val="20"/>
        </w:rPr>
        <w:t>c</w:t>
      </w:r>
      <w:r w:rsidRPr="00B522A3">
        <w:rPr>
          <w:rFonts w:ascii="Public Sans Light" w:hAnsi="Public Sans Light" w:cs="Times New Roman (Body CS)"/>
          <w:sz w:val="20"/>
        </w:rPr>
        <w:t xml:space="preserve">ompletion based on your participation in today’s session. </w:t>
      </w:r>
      <w:r>
        <w:rPr>
          <w:rFonts w:ascii="Public Sans Light" w:hAnsi="Public Sans Light" w:cs="Times New Roman (Body CS)"/>
          <w:sz w:val="20"/>
        </w:rPr>
        <w:t xml:space="preserve">You should upload the certificate of completion together with your responses to this self-assessment questionnaire as a single pdf file when you record the activity as Formal CPD in the </w:t>
      </w:r>
      <w:r w:rsidRPr="0069264D">
        <w:rPr>
          <w:rFonts w:ascii="Public Sans Light" w:hAnsi="Public Sans Light" w:cs="Times New Roman (Body CS)"/>
          <w:b/>
          <w:bCs/>
          <w:sz w:val="20"/>
        </w:rPr>
        <w:t>My CPD</w:t>
      </w:r>
      <w:r>
        <w:rPr>
          <w:rFonts w:ascii="Public Sans Light" w:hAnsi="Public Sans Light" w:cs="Times New Roman (Body CS)"/>
          <w:sz w:val="20"/>
        </w:rPr>
        <w:t xml:space="preserve"> portal in </w:t>
      </w:r>
      <w:hyperlink r:id="rId12" w:history="1">
        <w:r w:rsidRPr="0069264D">
          <w:rPr>
            <w:rStyle w:val="Hyperlink"/>
            <w:rFonts w:ascii="Public Sans Light" w:hAnsi="Public Sans Light" w:cs="Times New Roman (Body CS)"/>
            <w:sz w:val="20"/>
          </w:rPr>
          <w:t>My</w:t>
        </w:r>
        <w:r w:rsidRPr="0069264D">
          <w:rPr>
            <w:rStyle w:val="Hyperlink"/>
            <w:rFonts w:ascii="Public Sans Light" w:hAnsi="Public Sans Light" w:cs="Times New Roman (Body CS)"/>
            <w:sz w:val="20"/>
          </w:rPr>
          <w:t xml:space="preserve"> </w:t>
        </w:r>
        <w:r w:rsidRPr="0069264D">
          <w:rPr>
            <w:rStyle w:val="Hyperlink"/>
            <w:rFonts w:ascii="Public Sans Light" w:hAnsi="Public Sans Light" w:cs="Times New Roman (Body CS)"/>
            <w:sz w:val="20"/>
          </w:rPr>
          <w:t>Account</w:t>
        </w:r>
      </w:hyperlink>
      <w:r>
        <w:rPr>
          <w:rFonts w:ascii="Public Sans Light" w:hAnsi="Public Sans Light" w:cs="Times New Roman (Body CS)"/>
          <w:sz w:val="20"/>
        </w:rPr>
        <w:t xml:space="preserve"> </w:t>
      </w:r>
    </w:p>
    <w:p w14:paraId="39C82C5E" w14:textId="77777777" w:rsidR="00867FBF" w:rsidRPr="00B36811" w:rsidRDefault="00867FBF" w:rsidP="00867FBF">
      <w:pPr>
        <w:spacing w:after="120" w:line="276" w:lineRule="auto"/>
      </w:pPr>
      <w:r w:rsidRPr="00BC69D7">
        <w:rPr>
          <w:rFonts w:ascii="Public Sans Light" w:hAnsi="Public Sans Light" w:cs="Times New Roman (Body CS)"/>
          <w:i/>
          <w:iCs/>
          <w:sz w:val="20"/>
        </w:rPr>
        <w:t xml:space="preserve">(NOTE maximum file size for upload is </w:t>
      </w:r>
      <w:proofErr w:type="spellStart"/>
      <w:r w:rsidRPr="00BC69D7">
        <w:rPr>
          <w:rFonts w:ascii="Public Sans Light" w:hAnsi="Public Sans Light" w:cs="Times New Roman (Body CS)"/>
          <w:i/>
          <w:iCs/>
          <w:sz w:val="20"/>
        </w:rPr>
        <w:t>3MB</w:t>
      </w:r>
      <w:proofErr w:type="spellEnd"/>
      <w:r w:rsidRPr="00BC69D7">
        <w:rPr>
          <w:rFonts w:ascii="Public Sans Light" w:hAnsi="Public Sans Light" w:cs="Times New Roman (Body CS)"/>
          <w:i/>
          <w:iCs/>
          <w:sz w:val="20"/>
        </w:rPr>
        <w:t>)</w:t>
      </w:r>
    </w:p>
    <w:p w14:paraId="1B37742B" w14:textId="5348C323" w:rsidR="00867FBF" w:rsidRDefault="00867FBF" w:rsidP="00B36811">
      <w:pPr>
        <w:pStyle w:val="BodyText"/>
        <w:sectPr w:rsidR="00867FBF" w:rsidSect="00B27119">
          <w:headerReference w:type="default" r:id="rId13"/>
          <w:footerReference w:type="even" r:id="rId14"/>
          <w:footerReference w:type="default" r:id="rId15"/>
          <w:pgSz w:w="11906" w:h="16838"/>
          <w:pgMar w:top="2029" w:right="1440" w:bottom="1965" w:left="1440" w:header="680" w:footer="113" w:gutter="0"/>
          <w:cols w:space="708"/>
          <w:docGrid w:linePitch="360"/>
        </w:sectPr>
      </w:pPr>
    </w:p>
    <w:p w14:paraId="24AD13E3" w14:textId="03FA2431" w:rsidR="0069264D" w:rsidRDefault="0069264D" w:rsidP="00D244B1">
      <w:pPr>
        <w:pStyle w:val="Heading2"/>
        <w:spacing w:line="240" w:lineRule="auto"/>
        <w:rPr>
          <w:rFonts w:ascii="Public Sans" w:hAnsi="Public Sans"/>
          <w:bCs/>
          <w:color w:val="002060"/>
          <w:sz w:val="36"/>
          <w:szCs w:val="36"/>
        </w:rPr>
      </w:pPr>
      <w:r w:rsidRPr="00BC061C">
        <w:rPr>
          <w:rFonts w:ascii="Public Sans" w:hAnsi="Public Sans"/>
          <w:bCs/>
          <w:color w:val="002060"/>
          <w:sz w:val="36"/>
          <w:szCs w:val="36"/>
        </w:rPr>
        <w:lastRenderedPageBreak/>
        <w:t>Self-assessment questions</w:t>
      </w:r>
    </w:p>
    <w:p w14:paraId="2E4B238D" w14:textId="41CBB5B9" w:rsidR="00D244B1" w:rsidRPr="00BC061C" w:rsidRDefault="00867FBF" w:rsidP="00D244B1">
      <w:pPr>
        <w:pStyle w:val="Heading2"/>
        <w:spacing w:before="0" w:after="120" w:line="240" w:lineRule="auto"/>
        <w:rPr>
          <w:rFonts w:ascii="Public Sans" w:hAnsi="Public Sans"/>
          <w:bCs/>
          <w:color w:val="002060"/>
          <w:sz w:val="36"/>
          <w:szCs w:val="36"/>
        </w:rPr>
      </w:pPr>
      <w:r>
        <w:rPr>
          <w:rFonts w:ascii="Public Sans" w:hAnsi="Public Sans"/>
          <w:bCs/>
          <w:color w:val="002060"/>
          <w:sz w:val="36"/>
          <w:szCs w:val="36"/>
        </w:rPr>
        <w:t xml:space="preserve">Systemic </w:t>
      </w:r>
      <w:r w:rsidR="00D53C1F">
        <w:rPr>
          <w:rFonts w:ascii="Public Sans" w:hAnsi="Public Sans"/>
          <w:bCs/>
          <w:color w:val="002060"/>
          <w:sz w:val="36"/>
          <w:szCs w:val="36"/>
        </w:rPr>
        <w:t>risks in the Australian architecture sector</w:t>
      </w:r>
      <w:r>
        <w:rPr>
          <w:rFonts w:ascii="Public Sans" w:hAnsi="Public Sans"/>
          <w:bCs/>
          <w:color w:val="002060"/>
          <w:sz w:val="36"/>
          <w:szCs w:val="36"/>
        </w:rPr>
        <w:t xml:space="preserve"> – insights from 2024 focus groups</w:t>
      </w:r>
    </w:p>
    <w:p w14:paraId="306CEBF4" w14:textId="7FE06AB0" w:rsidR="0069264D" w:rsidRPr="00BC061C" w:rsidRDefault="0069264D" w:rsidP="0069264D">
      <w:pPr>
        <w:pStyle w:val="Heading2"/>
        <w:tabs>
          <w:tab w:val="left" w:pos="5812"/>
          <w:tab w:val="right" w:pos="8931"/>
        </w:tabs>
        <w:spacing w:after="120" w:line="276" w:lineRule="auto"/>
        <w:rPr>
          <w:rFonts w:ascii="Public Sans" w:hAnsi="Public Sans"/>
          <w:bCs/>
          <w:color w:val="002060"/>
          <w:sz w:val="22"/>
          <w:szCs w:val="22"/>
        </w:rPr>
      </w:pPr>
      <w:r w:rsidRPr="00BC061C">
        <w:rPr>
          <w:rFonts w:ascii="Public Sans" w:hAnsi="Public Sans"/>
          <w:bCs/>
          <w:color w:val="002060"/>
          <w:sz w:val="22"/>
          <w:szCs w:val="22"/>
        </w:rPr>
        <w:t>Participant name:</w:t>
      </w:r>
      <w:r w:rsidRPr="00BC061C">
        <w:rPr>
          <w:rFonts w:ascii="Public Sans" w:hAnsi="Public Sans"/>
          <w:bCs/>
          <w:color w:val="002060"/>
          <w:sz w:val="22"/>
          <w:szCs w:val="22"/>
          <w:u w:val="single"/>
        </w:rPr>
        <w:tab/>
      </w:r>
      <w:r w:rsidRPr="00BC061C">
        <w:rPr>
          <w:rFonts w:ascii="Public Sans" w:hAnsi="Public Sans"/>
          <w:bCs/>
          <w:color w:val="002060"/>
          <w:sz w:val="22"/>
          <w:szCs w:val="22"/>
        </w:rPr>
        <w:t>NSW registration no:</w:t>
      </w:r>
      <w:r w:rsidRPr="00BC061C">
        <w:rPr>
          <w:rFonts w:ascii="Public Sans" w:hAnsi="Public Sans"/>
          <w:bCs/>
          <w:color w:val="002060"/>
          <w:sz w:val="22"/>
          <w:szCs w:val="22"/>
          <w:u w:val="single"/>
        </w:rPr>
        <w:tab/>
      </w:r>
    </w:p>
    <w:p w14:paraId="1C8C5CB6" w14:textId="77777777" w:rsidR="00EB2540" w:rsidRPr="00A57F92" w:rsidRDefault="00EB2540" w:rsidP="00EB2540">
      <w:pPr>
        <w:pStyle w:val="BodyText"/>
        <w:numPr>
          <w:ilvl w:val="0"/>
          <w:numId w:val="7"/>
        </w:numPr>
        <w:tabs>
          <w:tab w:val="left" w:pos="851"/>
        </w:tabs>
        <w:spacing w:before="360"/>
        <w:ind w:left="426" w:hanging="426"/>
        <w:rPr>
          <w:rFonts w:cs="Times New Roman (Body CS)"/>
          <w:b/>
          <w:bCs/>
        </w:rPr>
      </w:pPr>
      <w:r>
        <w:rPr>
          <w:rFonts w:cs="Times New Roman (Body CS)"/>
          <w:b/>
          <w:bCs/>
        </w:rPr>
        <w:t>What is a systemic risk</w:t>
      </w:r>
      <w:r w:rsidRPr="00A57F92">
        <w:rPr>
          <w:rFonts w:cs="Times New Roman (Body CS)"/>
          <w:b/>
          <w:bCs/>
        </w:rPr>
        <w:t>?</w:t>
      </w:r>
    </w:p>
    <w:p w14:paraId="4FCD80C1" w14:textId="77777777" w:rsidR="00EB2540" w:rsidRPr="00927611" w:rsidRDefault="00EB2540" w:rsidP="00EB2540">
      <w:pPr>
        <w:pStyle w:val="BodyText"/>
        <w:tabs>
          <w:tab w:val="left" w:pos="851"/>
          <w:tab w:val="right" w:pos="8931"/>
        </w:tabs>
        <w:ind w:left="426"/>
        <w:rPr>
          <w:rFonts w:cs="Times New Roman (Body CS)"/>
          <w:u w:val="single"/>
        </w:rPr>
      </w:pPr>
      <w:r>
        <w:rPr>
          <w:rFonts w:cs="Times New Roman (Body CS)"/>
          <w:u w:val="single"/>
        </w:rPr>
        <w:tab/>
      </w:r>
      <w:r w:rsidRPr="00927611">
        <w:rPr>
          <w:rFonts w:cs="Times New Roman (Body CS)"/>
          <w:u w:val="single"/>
        </w:rPr>
        <w:tab/>
      </w:r>
    </w:p>
    <w:p w14:paraId="19D14B03" w14:textId="77777777" w:rsidR="00EB2540" w:rsidRDefault="00EB2540" w:rsidP="00EB2540">
      <w:pPr>
        <w:pStyle w:val="BodyText"/>
        <w:tabs>
          <w:tab w:val="left" w:pos="851"/>
          <w:tab w:val="right" w:pos="8931"/>
        </w:tabs>
        <w:ind w:left="426"/>
        <w:rPr>
          <w:rFonts w:cs="Times New Roman (Body CS)"/>
          <w:u w:val="single"/>
        </w:rPr>
      </w:pPr>
      <w:r>
        <w:rPr>
          <w:rFonts w:cs="Times New Roman (Body CS)"/>
          <w:u w:val="single"/>
        </w:rPr>
        <w:tab/>
      </w:r>
      <w:r w:rsidRPr="00927611">
        <w:rPr>
          <w:rFonts w:cs="Times New Roman (Body CS)"/>
          <w:u w:val="single"/>
        </w:rPr>
        <w:tab/>
      </w:r>
    </w:p>
    <w:p w14:paraId="0D377AA0" w14:textId="77777777" w:rsidR="00EB2540" w:rsidRPr="00927611" w:rsidRDefault="00EB2540" w:rsidP="00EB2540">
      <w:pPr>
        <w:pStyle w:val="BodyText"/>
        <w:tabs>
          <w:tab w:val="left" w:pos="851"/>
          <w:tab w:val="right" w:pos="8931"/>
        </w:tabs>
        <w:ind w:left="426"/>
        <w:rPr>
          <w:rFonts w:cs="Times New Roman (Body CS)"/>
          <w:u w:val="single"/>
        </w:rPr>
      </w:pPr>
      <w:r>
        <w:rPr>
          <w:rFonts w:cs="Times New Roman (Body CS)"/>
          <w:u w:val="single"/>
        </w:rPr>
        <w:tab/>
      </w:r>
      <w:r w:rsidRPr="00927611">
        <w:rPr>
          <w:rFonts w:cs="Times New Roman (Body CS)"/>
          <w:u w:val="single"/>
        </w:rPr>
        <w:tab/>
      </w:r>
    </w:p>
    <w:p w14:paraId="2467F902" w14:textId="549C4FB7" w:rsidR="00EB2540" w:rsidRPr="00EB2540" w:rsidRDefault="00EB2540" w:rsidP="00EB2540">
      <w:pPr>
        <w:pStyle w:val="BodyText"/>
        <w:numPr>
          <w:ilvl w:val="0"/>
          <w:numId w:val="7"/>
        </w:numPr>
        <w:tabs>
          <w:tab w:val="left" w:pos="851"/>
          <w:tab w:val="right" w:pos="8931"/>
        </w:tabs>
        <w:spacing w:before="480"/>
        <w:ind w:left="425" w:hanging="425"/>
        <w:rPr>
          <w:rFonts w:cs="Times New Roman (Body CS)"/>
          <w:b/>
          <w:bCs/>
        </w:rPr>
      </w:pPr>
      <w:r w:rsidRPr="00EB2540">
        <w:rPr>
          <w:rFonts w:cs="Times New Roman (Body CS)"/>
          <w:b/>
          <w:bCs/>
        </w:rPr>
        <w:t xml:space="preserve">List the 4 key systemic risks </w:t>
      </w:r>
      <w:r>
        <w:rPr>
          <w:rFonts w:cs="Times New Roman (Body CS)"/>
          <w:b/>
          <w:bCs/>
        </w:rPr>
        <w:t xml:space="preserve">that were </w:t>
      </w:r>
      <w:r w:rsidR="00CA52D1">
        <w:rPr>
          <w:rFonts w:cs="Times New Roman (Body CS)"/>
          <w:b/>
          <w:bCs/>
        </w:rPr>
        <w:t>investigated</w:t>
      </w:r>
      <w:r>
        <w:rPr>
          <w:rFonts w:cs="Times New Roman (Body CS)"/>
          <w:b/>
          <w:bCs/>
        </w:rPr>
        <w:t xml:space="preserve"> through </w:t>
      </w:r>
      <w:r w:rsidR="00DB2E48">
        <w:rPr>
          <w:rFonts w:cs="Times New Roman (Body CS)"/>
          <w:b/>
          <w:bCs/>
        </w:rPr>
        <w:t xml:space="preserve">the </w:t>
      </w:r>
      <w:r>
        <w:rPr>
          <w:rFonts w:cs="Times New Roman (Body CS)"/>
          <w:b/>
          <w:bCs/>
        </w:rPr>
        <w:t>focus group</w:t>
      </w:r>
      <w:r w:rsidR="00DB2E48">
        <w:rPr>
          <w:rFonts w:cs="Times New Roman (Body CS)"/>
          <w:b/>
          <w:bCs/>
        </w:rPr>
        <w:t xml:space="preserve"> “deep dives” with industry</w:t>
      </w:r>
      <w:r w:rsidRPr="00EB2540">
        <w:rPr>
          <w:rFonts w:cs="Times New Roman (Body CS)"/>
          <w:b/>
          <w:bCs/>
        </w:rPr>
        <w:t>.</w:t>
      </w:r>
    </w:p>
    <w:p w14:paraId="43C893FF" w14:textId="77777777" w:rsidR="00EB2540" w:rsidRPr="00AD4C51" w:rsidRDefault="00EB2540" w:rsidP="00EB2540">
      <w:pPr>
        <w:pStyle w:val="BodyText"/>
        <w:numPr>
          <w:ilvl w:val="0"/>
          <w:numId w:val="8"/>
        </w:numPr>
        <w:tabs>
          <w:tab w:val="left" w:pos="851"/>
          <w:tab w:val="right" w:pos="8931"/>
        </w:tabs>
        <w:ind w:left="993" w:hanging="284"/>
        <w:rPr>
          <w:rFonts w:cs="Times New Roman (Body CS)"/>
        </w:rPr>
      </w:pPr>
      <w:r w:rsidRPr="00AD4C51">
        <w:rPr>
          <w:rFonts w:cs="Times New Roman (Body CS)"/>
        </w:rPr>
        <w:tab/>
      </w:r>
      <w:r w:rsidRPr="00AD4C51">
        <w:rPr>
          <w:rFonts w:cs="Times New Roman (Body CS)"/>
          <w:u w:val="single"/>
        </w:rPr>
        <w:tab/>
      </w:r>
    </w:p>
    <w:p w14:paraId="00E2886A" w14:textId="77777777" w:rsidR="00EB2540" w:rsidRPr="00AD4C51" w:rsidRDefault="00EB2540" w:rsidP="00EB2540">
      <w:pPr>
        <w:pStyle w:val="BodyText"/>
        <w:numPr>
          <w:ilvl w:val="0"/>
          <w:numId w:val="8"/>
        </w:numPr>
        <w:tabs>
          <w:tab w:val="left" w:pos="851"/>
          <w:tab w:val="right" w:pos="8931"/>
        </w:tabs>
        <w:ind w:left="993" w:hanging="284"/>
        <w:rPr>
          <w:rFonts w:cs="Times New Roman (Body CS)"/>
        </w:rPr>
      </w:pPr>
      <w:r w:rsidRPr="00AD4C51">
        <w:rPr>
          <w:rFonts w:cs="Times New Roman (Body CS)"/>
        </w:rPr>
        <w:tab/>
      </w:r>
      <w:r w:rsidRPr="00AD4C51">
        <w:rPr>
          <w:rFonts w:cs="Times New Roman (Body CS)"/>
          <w:u w:val="single"/>
        </w:rPr>
        <w:tab/>
      </w:r>
    </w:p>
    <w:p w14:paraId="0D97F7C5" w14:textId="77777777" w:rsidR="00EB2540" w:rsidRPr="00AD4C51" w:rsidRDefault="00EB2540" w:rsidP="00EB2540">
      <w:pPr>
        <w:pStyle w:val="BodyText"/>
        <w:numPr>
          <w:ilvl w:val="0"/>
          <w:numId w:val="8"/>
        </w:numPr>
        <w:tabs>
          <w:tab w:val="left" w:pos="851"/>
          <w:tab w:val="right" w:pos="8931"/>
        </w:tabs>
        <w:ind w:left="993" w:hanging="284"/>
        <w:rPr>
          <w:rFonts w:cs="Times New Roman (Body CS)"/>
        </w:rPr>
      </w:pPr>
      <w:r w:rsidRPr="00AD4C51">
        <w:rPr>
          <w:rFonts w:cs="Times New Roman (Body CS)"/>
        </w:rPr>
        <w:tab/>
      </w:r>
      <w:r w:rsidRPr="00AD4C51">
        <w:rPr>
          <w:rFonts w:cs="Times New Roman (Body CS)"/>
          <w:u w:val="single"/>
        </w:rPr>
        <w:tab/>
      </w:r>
    </w:p>
    <w:p w14:paraId="1A08E8F5" w14:textId="77777777" w:rsidR="00EB2540" w:rsidRPr="00AD4C51" w:rsidRDefault="00EB2540" w:rsidP="00EB2540">
      <w:pPr>
        <w:pStyle w:val="BodyText"/>
        <w:numPr>
          <w:ilvl w:val="0"/>
          <w:numId w:val="8"/>
        </w:numPr>
        <w:tabs>
          <w:tab w:val="left" w:pos="851"/>
          <w:tab w:val="right" w:pos="8931"/>
        </w:tabs>
        <w:ind w:left="993" w:hanging="284"/>
        <w:rPr>
          <w:rFonts w:cs="Times New Roman (Body CS)"/>
        </w:rPr>
      </w:pPr>
      <w:r w:rsidRPr="00AD4C51">
        <w:rPr>
          <w:rFonts w:cs="Times New Roman (Body CS)"/>
        </w:rPr>
        <w:tab/>
      </w:r>
      <w:r w:rsidRPr="00AD4C51">
        <w:rPr>
          <w:rFonts w:cs="Times New Roman (Body CS)"/>
          <w:u w:val="single"/>
        </w:rPr>
        <w:tab/>
      </w:r>
    </w:p>
    <w:p w14:paraId="0B6360EF" w14:textId="26EA9E33" w:rsidR="00CE2B43" w:rsidRPr="00CE2B43" w:rsidRDefault="00CE2B43" w:rsidP="00EB2540">
      <w:pPr>
        <w:pStyle w:val="BodyText"/>
        <w:numPr>
          <w:ilvl w:val="0"/>
          <w:numId w:val="7"/>
        </w:numPr>
        <w:tabs>
          <w:tab w:val="left" w:pos="851"/>
        </w:tabs>
        <w:spacing w:before="480"/>
        <w:ind w:left="425" w:hanging="425"/>
        <w:rPr>
          <w:rFonts w:cs="Times New Roman (Body CS)"/>
          <w:b/>
          <w:bCs/>
        </w:rPr>
      </w:pPr>
      <w:r w:rsidRPr="00CE2B43">
        <w:rPr>
          <w:rFonts w:cs="Times New Roman (Body CS)"/>
          <w:b/>
          <w:bCs/>
        </w:rPr>
        <w:t xml:space="preserve">Identify factors that impact on client-architect relationships that architects </w:t>
      </w:r>
      <w:r w:rsidR="00DB2E48">
        <w:rPr>
          <w:rFonts w:cs="Times New Roman (Body CS)"/>
          <w:b/>
          <w:bCs/>
        </w:rPr>
        <w:t>should</w:t>
      </w:r>
      <w:r w:rsidRPr="00CE2B43">
        <w:rPr>
          <w:rFonts w:cs="Times New Roman (Body CS)"/>
          <w:b/>
          <w:bCs/>
        </w:rPr>
        <w:t xml:space="preserve"> consider (identify all relevant).</w:t>
      </w:r>
    </w:p>
    <w:p w14:paraId="1FE01C82" w14:textId="1E89C456" w:rsidR="00CE2B43" w:rsidRPr="00CE2B43" w:rsidRDefault="00CE2B43" w:rsidP="00EB2540">
      <w:pPr>
        <w:pStyle w:val="BodyText"/>
        <w:tabs>
          <w:tab w:val="left" w:pos="851"/>
        </w:tabs>
        <w:ind w:left="850" w:hanging="425"/>
        <w:rPr>
          <w:rFonts w:cs="Times New Roman (Body CS)"/>
        </w:rPr>
      </w:pPr>
      <w:r w:rsidRPr="00CE2B43">
        <w:rPr>
          <w:rFonts w:cs="Times New Roman (Body CS)"/>
        </w:rPr>
        <w:t>a.</w:t>
      </w:r>
      <w:r>
        <w:rPr>
          <w:rFonts w:cs="Times New Roman (Body CS)"/>
        </w:rPr>
        <w:tab/>
      </w:r>
      <w:r w:rsidRPr="00CE2B43">
        <w:rPr>
          <w:rFonts w:cs="Times New Roman (Body CS)"/>
        </w:rPr>
        <w:t>Type of procurement processes</w:t>
      </w:r>
    </w:p>
    <w:p w14:paraId="1CD876DB" w14:textId="126DD5CC" w:rsidR="00CE2B43" w:rsidRPr="00CE2B43" w:rsidRDefault="00CE2B43" w:rsidP="00EB2540">
      <w:pPr>
        <w:pStyle w:val="BodyText"/>
        <w:tabs>
          <w:tab w:val="left" w:pos="851"/>
        </w:tabs>
        <w:ind w:left="850" w:hanging="425"/>
        <w:rPr>
          <w:rFonts w:cs="Times New Roman (Body CS)"/>
        </w:rPr>
      </w:pPr>
      <w:r w:rsidRPr="00CE2B43">
        <w:rPr>
          <w:rFonts w:cs="Times New Roman (Body CS)"/>
        </w:rPr>
        <w:t>b.</w:t>
      </w:r>
      <w:r>
        <w:rPr>
          <w:rFonts w:cs="Times New Roman (Body CS)"/>
        </w:rPr>
        <w:tab/>
      </w:r>
      <w:r w:rsidRPr="00CE2B43">
        <w:rPr>
          <w:rFonts w:cs="Times New Roman (Body CS)"/>
        </w:rPr>
        <w:t>The use of standardi</w:t>
      </w:r>
      <w:r>
        <w:rPr>
          <w:rFonts w:cs="Times New Roman (Body CS)"/>
        </w:rPr>
        <w:t>s</w:t>
      </w:r>
      <w:r w:rsidRPr="00CE2B43">
        <w:rPr>
          <w:rFonts w:cs="Times New Roman (Body CS)"/>
        </w:rPr>
        <w:t>ed versus bespoke agreements</w:t>
      </w:r>
    </w:p>
    <w:p w14:paraId="40366A97" w14:textId="60E82095" w:rsidR="00CE2B43" w:rsidRPr="00CE2B43" w:rsidRDefault="00CE2B43" w:rsidP="00EB2540">
      <w:pPr>
        <w:pStyle w:val="BodyText"/>
        <w:tabs>
          <w:tab w:val="left" w:pos="851"/>
        </w:tabs>
        <w:ind w:left="850" w:hanging="425"/>
        <w:rPr>
          <w:rFonts w:cs="Times New Roman (Body CS)"/>
        </w:rPr>
      </w:pPr>
      <w:r w:rsidRPr="00CE2B43">
        <w:rPr>
          <w:rFonts w:cs="Times New Roman (Body CS)"/>
        </w:rPr>
        <w:t>c.</w:t>
      </w:r>
      <w:r>
        <w:rPr>
          <w:rFonts w:cs="Times New Roman (Body CS)"/>
        </w:rPr>
        <w:tab/>
      </w:r>
      <w:r w:rsidRPr="00CE2B43">
        <w:rPr>
          <w:rFonts w:cs="Times New Roman (Body CS)"/>
        </w:rPr>
        <w:t>How the fee structure is determined (i.e. fixed or percentage fees)</w:t>
      </w:r>
    </w:p>
    <w:p w14:paraId="02A3FD26" w14:textId="48AB30D1" w:rsidR="00CE2B43" w:rsidRPr="00CE2B43" w:rsidRDefault="00CE2B43" w:rsidP="00EB2540">
      <w:pPr>
        <w:pStyle w:val="BodyText"/>
        <w:tabs>
          <w:tab w:val="left" w:pos="851"/>
        </w:tabs>
        <w:ind w:left="850" w:hanging="425"/>
        <w:rPr>
          <w:rFonts w:cs="Times New Roman (Body CS)"/>
        </w:rPr>
      </w:pPr>
      <w:r w:rsidRPr="00CE2B43">
        <w:rPr>
          <w:rFonts w:cs="Times New Roman (Body CS)"/>
        </w:rPr>
        <w:t>d.</w:t>
      </w:r>
      <w:r>
        <w:rPr>
          <w:rFonts w:cs="Times New Roman (Body CS)"/>
        </w:rPr>
        <w:tab/>
      </w:r>
      <w:proofErr w:type="gramStart"/>
      <w:r w:rsidRPr="00CE2B43">
        <w:rPr>
          <w:rFonts w:cs="Times New Roman (Body CS)"/>
        </w:rPr>
        <w:t>All of</w:t>
      </w:r>
      <w:proofErr w:type="gramEnd"/>
      <w:r w:rsidRPr="00CE2B43">
        <w:rPr>
          <w:rFonts w:cs="Times New Roman (Body CS)"/>
        </w:rPr>
        <w:t xml:space="preserve"> the above</w:t>
      </w:r>
    </w:p>
    <w:p w14:paraId="1299D9FB" w14:textId="2325FAC2" w:rsidR="00CE2B43" w:rsidRPr="00CE2B43" w:rsidRDefault="00CE2B43" w:rsidP="00CE2B43">
      <w:pPr>
        <w:pStyle w:val="BodyText"/>
        <w:numPr>
          <w:ilvl w:val="0"/>
          <w:numId w:val="7"/>
        </w:numPr>
        <w:tabs>
          <w:tab w:val="left" w:pos="851"/>
        </w:tabs>
        <w:spacing w:before="360"/>
        <w:ind w:left="426" w:hanging="426"/>
        <w:rPr>
          <w:rFonts w:cs="Times New Roman (Body CS)"/>
          <w:b/>
          <w:bCs/>
        </w:rPr>
      </w:pPr>
      <w:r w:rsidRPr="00CE2B43">
        <w:rPr>
          <w:rFonts w:cs="Times New Roman (Body CS)"/>
          <w:b/>
          <w:bCs/>
        </w:rPr>
        <w:t xml:space="preserve">True or False: </w:t>
      </w:r>
      <w:r>
        <w:rPr>
          <w:rFonts w:cs="Times New Roman (Body CS)"/>
          <w:b/>
          <w:bCs/>
        </w:rPr>
        <w:t>The s</w:t>
      </w:r>
      <w:r w:rsidRPr="00CE2B43">
        <w:rPr>
          <w:rFonts w:cs="Times New Roman (Body CS)"/>
          <w:b/>
          <w:bCs/>
        </w:rPr>
        <w:t xml:space="preserve">ystemic </w:t>
      </w:r>
      <w:r>
        <w:rPr>
          <w:rFonts w:cs="Times New Roman (Body CS)"/>
          <w:b/>
          <w:bCs/>
        </w:rPr>
        <w:t>r</w:t>
      </w:r>
      <w:r w:rsidRPr="00CE2B43">
        <w:rPr>
          <w:rFonts w:cs="Times New Roman (Body CS)"/>
          <w:b/>
          <w:bCs/>
        </w:rPr>
        <w:t xml:space="preserve">isks </w:t>
      </w:r>
      <w:r>
        <w:rPr>
          <w:rFonts w:cs="Times New Roman (Body CS)"/>
          <w:b/>
          <w:bCs/>
        </w:rPr>
        <w:t>research</w:t>
      </w:r>
      <w:r w:rsidRPr="00CE2B43">
        <w:rPr>
          <w:rFonts w:cs="Times New Roman (Body CS)"/>
          <w:b/>
          <w:bCs/>
        </w:rPr>
        <w:t xml:space="preserve"> indicate</w:t>
      </w:r>
      <w:r w:rsidR="00DB2E48">
        <w:rPr>
          <w:rFonts w:cs="Times New Roman (Body CS)"/>
          <w:b/>
          <w:bCs/>
        </w:rPr>
        <w:t>s</w:t>
      </w:r>
      <w:r w:rsidRPr="00CE2B43">
        <w:rPr>
          <w:rFonts w:cs="Times New Roman (Body CS)"/>
          <w:b/>
          <w:bCs/>
        </w:rPr>
        <w:t xml:space="preserve"> that D</w:t>
      </w:r>
      <w:r w:rsidR="008A4879">
        <w:rPr>
          <w:rFonts w:cs="Times New Roman (Body CS)"/>
          <w:b/>
          <w:bCs/>
        </w:rPr>
        <w:t xml:space="preserve"> </w:t>
      </w:r>
      <w:r w:rsidRPr="00CE2B43">
        <w:rPr>
          <w:rFonts w:cs="Times New Roman (Body CS)"/>
          <w:b/>
          <w:bCs/>
        </w:rPr>
        <w:t>&amp;</w:t>
      </w:r>
      <w:r w:rsidR="008A4879">
        <w:rPr>
          <w:rFonts w:cs="Times New Roman (Body CS)"/>
          <w:b/>
          <w:bCs/>
        </w:rPr>
        <w:t xml:space="preserve"> </w:t>
      </w:r>
      <w:r w:rsidRPr="00CE2B43">
        <w:rPr>
          <w:rFonts w:cs="Times New Roman (Body CS)"/>
          <w:b/>
          <w:bCs/>
        </w:rPr>
        <w:t xml:space="preserve">C procurement has very little impact on the level of control over detail </w:t>
      </w:r>
      <w:r w:rsidR="00DB2E48">
        <w:rPr>
          <w:rFonts w:cs="Times New Roman (Body CS)"/>
          <w:b/>
          <w:bCs/>
        </w:rPr>
        <w:t>in the architectural</w:t>
      </w:r>
      <w:r w:rsidRPr="00CE2B43">
        <w:rPr>
          <w:rFonts w:cs="Times New Roman (Body CS)"/>
          <w:b/>
          <w:bCs/>
        </w:rPr>
        <w:t xml:space="preserve"> documentation and the translation of the design into the built outcome.</w:t>
      </w:r>
    </w:p>
    <w:p w14:paraId="0D58BE88" w14:textId="51F52D36" w:rsidR="00CE2B43" w:rsidRPr="00CE2B43" w:rsidRDefault="00CE2B43" w:rsidP="00EB2540">
      <w:pPr>
        <w:pStyle w:val="BodyText"/>
        <w:tabs>
          <w:tab w:val="left" w:pos="851"/>
        </w:tabs>
        <w:ind w:left="850" w:hanging="425"/>
        <w:rPr>
          <w:rFonts w:cs="Times New Roman (Body CS)"/>
        </w:rPr>
      </w:pPr>
      <w:r w:rsidRPr="00CE2B43">
        <w:rPr>
          <w:rFonts w:cs="Times New Roman (Body CS)"/>
        </w:rPr>
        <w:t>a.</w:t>
      </w:r>
      <w:r>
        <w:rPr>
          <w:rFonts w:cs="Times New Roman (Body CS)"/>
        </w:rPr>
        <w:tab/>
      </w:r>
      <w:r w:rsidRPr="00CE2B43">
        <w:rPr>
          <w:rFonts w:cs="Times New Roman (Body CS)"/>
        </w:rPr>
        <w:t>True</w:t>
      </w:r>
    </w:p>
    <w:p w14:paraId="20922BAB" w14:textId="45D44583" w:rsidR="00CE2B43" w:rsidRPr="00CE2B43" w:rsidRDefault="00CE2B43" w:rsidP="00EB2540">
      <w:pPr>
        <w:pStyle w:val="BodyText"/>
        <w:tabs>
          <w:tab w:val="left" w:pos="851"/>
        </w:tabs>
        <w:ind w:left="850" w:hanging="425"/>
        <w:rPr>
          <w:rFonts w:cs="Times New Roman (Body CS)"/>
        </w:rPr>
      </w:pPr>
      <w:r w:rsidRPr="00CE2B43">
        <w:rPr>
          <w:rFonts w:cs="Times New Roman (Body CS)"/>
        </w:rPr>
        <w:t xml:space="preserve">b. </w:t>
      </w:r>
      <w:r>
        <w:rPr>
          <w:rFonts w:cs="Times New Roman (Body CS)"/>
        </w:rPr>
        <w:tab/>
      </w:r>
      <w:r w:rsidRPr="00CE2B43">
        <w:rPr>
          <w:rFonts w:cs="Times New Roman (Body CS)"/>
        </w:rPr>
        <w:t>False</w:t>
      </w:r>
    </w:p>
    <w:p w14:paraId="3C9F29D4" w14:textId="1B4F3E6A" w:rsidR="00CE2B43" w:rsidRPr="00CE2B43" w:rsidRDefault="00CE2B43" w:rsidP="00CE2B43">
      <w:pPr>
        <w:pStyle w:val="BodyText"/>
        <w:numPr>
          <w:ilvl w:val="0"/>
          <w:numId w:val="7"/>
        </w:numPr>
        <w:tabs>
          <w:tab w:val="left" w:pos="851"/>
        </w:tabs>
        <w:spacing w:before="360"/>
        <w:ind w:left="426" w:hanging="426"/>
        <w:rPr>
          <w:rFonts w:cs="Times New Roman (Body CS)"/>
          <w:b/>
          <w:bCs/>
        </w:rPr>
      </w:pPr>
      <w:r w:rsidRPr="00CE2B43">
        <w:rPr>
          <w:rFonts w:cs="Times New Roman (Body CS)"/>
          <w:b/>
          <w:bCs/>
        </w:rPr>
        <w:t>Which of the following statements concern</w:t>
      </w:r>
      <w:r>
        <w:rPr>
          <w:rFonts w:cs="Times New Roman (Body CS)"/>
          <w:b/>
          <w:bCs/>
        </w:rPr>
        <w:t>ing</w:t>
      </w:r>
      <w:r w:rsidRPr="00CE2B43">
        <w:rPr>
          <w:rFonts w:cs="Times New Roman (Body CS)"/>
          <w:b/>
          <w:bCs/>
        </w:rPr>
        <w:t xml:space="preserve"> D</w:t>
      </w:r>
      <w:r>
        <w:rPr>
          <w:rFonts w:cs="Times New Roman (Body CS)"/>
          <w:b/>
          <w:bCs/>
        </w:rPr>
        <w:t xml:space="preserve"> </w:t>
      </w:r>
      <w:r w:rsidRPr="00CE2B43">
        <w:rPr>
          <w:rFonts w:cs="Times New Roman (Body CS)"/>
          <w:b/>
          <w:bCs/>
        </w:rPr>
        <w:t>&amp;</w:t>
      </w:r>
      <w:r>
        <w:rPr>
          <w:rFonts w:cs="Times New Roman (Body CS)"/>
          <w:b/>
          <w:bCs/>
        </w:rPr>
        <w:t xml:space="preserve"> </w:t>
      </w:r>
      <w:r w:rsidRPr="00CE2B43">
        <w:rPr>
          <w:rFonts w:cs="Times New Roman (Body CS)"/>
          <w:b/>
          <w:bCs/>
        </w:rPr>
        <w:t xml:space="preserve">C contracts is true following from the </w:t>
      </w:r>
      <w:r>
        <w:rPr>
          <w:rFonts w:cs="Times New Roman (Body CS)"/>
          <w:b/>
          <w:bCs/>
        </w:rPr>
        <w:t>s</w:t>
      </w:r>
      <w:r w:rsidRPr="00CE2B43">
        <w:rPr>
          <w:rFonts w:cs="Times New Roman (Body CS)"/>
          <w:b/>
          <w:bCs/>
        </w:rPr>
        <w:t xml:space="preserve">ystemic </w:t>
      </w:r>
      <w:r>
        <w:rPr>
          <w:rFonts w:cs="Times New Roman (Body CS)"/>
          <w:b/>
          <w:bCs/>
        </w:rPr>
        <w:t>r</w:t>
      </w:r>
      <w:r w:rsidRPr="00CE2B43">
        <w:rPr>
          <w:rFonts w:cs="Times New Roman (Body CS)"/>
          <w:b/>
          <w:bCs/>
        </w:rPr>
        <w:t xml:space="preserve">isks </w:t>
      </w:r>
      <w:r>
        <w:rPr>
          <w:rFonts w:cs="Times New Roman (Body CS)"/>
          <w:b/>
          <w:bCs/>
        </w:rPr>
        <w:t>research</w:t>
      </w:r>
      <w:r w:rsidRPr="00CE2B43">
        <w:rPr>
          <w:rFonts w:cs="Times New Roman (Body CS)"/>
          <w:b/>
          <w:bCs/>
        </w:rPr>
        <w:t>:</w:t>
      </w:r>
    </w:p>
    <w:p w14:paraId="4A69A1DC" w14:textId="31CC0CC9" w:rsidR="00CE2B43" w:rsidRPr="00CE2B43" w:rsidRDefault="00CE2B43" w:rsidP="00EB2540">
      <w:pPr>
        <w:pStyle w:val="BodyText"/>
        <w:tabs>
          <w:tab w:val="left" w:pos="851"/>
        </w:tabs>
        <w:ind w:left="850" w:hanging="425"/>
        <w:rPr>
          <w:rFonts w:cs="Times New Roman (Body CS)"/>
        </w:rPr>
      </w:pPr>
      <w:r w:rsidRPr="00CE2B43">
        <w:rPr>
          <w:rFonts w:cs="Times New Roman (Body CS)"/>
        </w:rPr>
        <w:t>a.</w:t>
      </w:r>
      <w:r>
        <w:rPr>
          <w:rFonts w:cs="Times New Roman (Body CS)"/>
        </w:rPr>
        <w:tab/>
      </w:r>
      <w:r w:rsidRPr="00CE2B43">
        <w:rPr>
          <w:rFonts w:cs="Times New Roman (Body CS)"/>
        </w:rPr>
        <w:t>D</w:t>
      </w:r>
      <w:r>
        <w:rPr>
          <w:rFonts w:cs="Times New Roman (Body CS)"/>
        </w:rPr>
        <w:t xml:space="preserve"> </w:t>
      </w:r>
      <w:r w:rsidRPr="00CE2B43">
        <w:rPr>
          <w:rFonts w:cs="Times New Roman (Body CS)"/>
        </w:rPr>
        <w:t>&amp;C contracts allocate risk and liability on architects potentially to secure project finance, but these can be covered under insurance.</w:t>
      </w:r>
    </w:p>
    <w:p w14:paraId="51816AEA" w14:textId="661DBAC4" w:rsidR="00CE2B43" w:rsidRPr="00CE2B43" w:rsidRDefault="00CE2B43" w:rsidP="00EB2540">
      <w:pPr>
        <w:pStyle w:val="BodyText"/>
        <w:tabs>
          <w:tab w:val="left" w:pos="851"/>
        </w:tabs>
        <w:ind w:left="850" w:hanging="425"/>
        <w:rPr>
          <w:rFonts w:cs="Times New Roman (Body CS)"/>
        </w:rPr>
      </w:pPr>
      <w:r w:rsidRPr="00CE2B43">
        <w:rPr>
          <w:rFonts w:cs="Times New Roman (Body CS)"/>
        </w:rPr>
        <w:t>b.</w:t>
      </w:r>
      <w:r>
        <w:rPr>
          <w:rFonts w:cs="Times New Roman (Body CS)"/>
        </w:rPr>
        <w:tab/>
      </w:r>
      <w:r w:rsidRPr="00CE2B43">
        <w:rPr>
          <w:rFonts w:cs="Times New Roman (Body CS)"/>
        </w:rPr>
        <w:t>D</w:t>
      </w:r>
      <w:r w:rsidR="008A4879">
        <w:rPr>
          <w:rFonts w:cs="Times New Roman (Body CS)"/>
        </w:rPr>
        <w:t xml:space="preserve"> </w:t>
      </w:r>
      <w:r w:rsidRPr="00CE2B43">
        <w:rPr>
          <w:rFonts w:cs="Times New Roman (Body CS)"/>
        </w:rPr>
        <w:t>&amp;</w:t>
      </w:r>
      <w:r w:rsidR="008A4879">
        <w:rPr>
          <w:rFonts w:cs="Times New Roman (Body CS)"/>
        </w:rPr>
        <w:t xml:space="preserve"> </w:t>
      </w:r>
      <w:r w:rsidRPr="00CE2B43">
        <w:rPr>
          <w:rFonts w:cs="Times New Roman (Body CS)"/>
        </w:rPr>
        <w:t>C contracts contain risks that can largely be negotiated due to the architect’s leverage.</w:t>
      </w:r>
    </w:p>
    <w:p w14:paraId="6CEF6EB8" w14:textId="75FA32E9" w:rsidR="00CE2B43" w:rsidRPr="00CE2B43" w:rsidRDefault="00CE2B43" w:rsidP="00EB2540">
      <w:pPr>
        <w:pStyle w:val="BodyText"/>
        <w:tabs>
          <w:tab w:val="left" w:pos="851"/>
        </w:tabs>
        <w:ind w:left="850" w:hanging="425"/>
        <w:rPr>
          <w:rFonts w:cs="Times New Roman (Body CS)"/>
        </w:rPr>
      </w:pPr>
      <w:r w:rsidRPr="00CE2B43">
        <w:rPr>
          <w:rFonts w:cs="Times New Roman (Body CS)"/>
        </w:rPr>
        <w:t>c.</w:t>
      </w:r>
      <w:r>
        <w:rPr>
          <w:rFonts w:cs="Times New Roman (Body CS)"/>
        </w:rPr>
        <w:tab/>
      </w:r>
      <w:r w:rsidRPr="00CE2B43">
        <w:rPr>
          <w:rFonts w:cs="Times New Roman (Body CS)"/>
        </w:rPr>
        <w:t>D</w:t>
      </w:r>
      <w:r w:rsidR="008A4879">
        <w:rPr>
          <w:rFonts w:cs="Times New Roman (Body CS)"/>
        </w:rPr>
        <w:t xml:space="preserve"> </w:t>
      </w:r>
      <w:r w:rsidRPr="00CE2B43">
        <w:rPr>
          <w:rFonts w:cs="Times New Roman (Body CS)"/>
        </w:rPr>
        <w:t>&amp;</w:t>
      </w:r>
      <w:r w:rsidR="008A4879">
        <w:rPr>
          <w:rFonts w:cs="Times New Roman (Body CS)"/>
        </w:rPr>
        <w:t xml:space="preserve"> </w:t>
      </w:r>
      <w:r w:rsidRPr="00CE2B43">
        <w:rPr>
          <w:rFonts w:cs="Times New Roman (Body CS)"/>
        </w:rPr>
        <w:t xml:space="preserve">C contracts shift risk and liability onto </w:t>
      </w:r>
      <w:proofErr w:type="gramStart"/>
      <w:r w:rsidRPr="00CE2B43">
        <w:rPr>
          <w:rFonts w:cs="Times New Roman (Body CS)"/>
        </w:rPr>
        <w:t>architects</w:t>
      </w:r>
      <w:proofErr w:type="gramEnd"/>
      <w:r w:rsidR="008A4879">
        <w:rPr>
          <w:rFonts w:cs="Times New Roman (Body CS)"/>
        </w:rPr>
        <w:t xml:space="preserve"> and it</w:t>
      </w:r>
      <w:r w:rsidRPr="00CE2B43">
        <w:rPr>
          <w:rFonts w:cs="Times New Roman (Body CS)"/>
        </w:rPr>
        <w:t xml:space="preserve"> can be hard to negotiate favourable changes</w:t>
      </w:r>
      <w:r w:rsidR="008A4879">
        <w:rPr>
          <w:rFonts w:cs="Times New Roman (Body CS)"/>
        </w:rPr>
        <w:t>,</w:t>
      </w:r>
      <w:r w:rsidRPr="00CE2B43">
        <w:rPr>
          <w:rFonts w:cs="Times New Roman (Body CS)"/>
        </w:rPr>
        <w:t xml:space="preserve"> which may impact on </w:t>
      </w:r>
      <w:r w:rsidR="008A4879">
        <w:rPr>
          <w:rFonts w:cs="Times New Roman (Body CS)"/>
        </w:rPr>
        <w:t xml:space="preserve">architects’ </w:t>
      </w:r>
      <w:r w:rsidRPr="00CE2B43">
        <w:rPr>
          <w:rFonts w:cs="Times New Roman (Body CS)"/>
        </w:rPr>
        <w:t>insurance.</w:t>
      </w:r>
    </w:p>
    <w:p w14:paraId="1BB247E9" w14:textId="65E2BD27" w:rsidR="00867FBF" w:rsidRDefault="00CE2B43" w:rsidP="00867FBF">
      <w:pPr>
        <w:pStyle w:val="BodyText"/>
        <w:tabs>
          <w:tab w:val="left" w:pos="851"/>
        </w:tabs>
        <w:ind w:left="850" w:hanging="425"/>
        <w:rPr>
          <w:rFonts w:cs="Times New Roman (Body CS)"/>
        </w:rPr>
      </w:pPr>
      <w:r w:rsidRPr="00CE2B43">
        <w:rPr>
          <w:rFonts w:cs="Times New Roman (Body CS)"/>
        </w:rPr>
        <w:t>d.</w:t>
      </w:r>
      <w:r>
        <w:rPr>
          <w:rFonts w:cs="Times New Roman (Body CS)"/>
        </w:rPr>
        <w:tab/>
      </w:r>
      <w:r w:rsidRPr="00CE2B43">
        <w:rPr>
          <w:rFonts w:cs="Times New Roman (Body CS)"/>
        </w:rPr>
        <w:t>B and C</w:t>
      </w:r>
      <w:r w:rsidR="00867FBF">
        <w:rPr>
          <w:rFonts w:cs="Times New Roman (Body CS)"/>
        </w:rPr>
        <w:br w:type="page"/>
      </w:r>
    </w:p>
    <w:p w14:paraId="15DCF14B" w14:textId="77777777" w:rsidR="00CE2B43" w:rsidRPr="00CE2B43" w:rsidRDefault="00CE2B43" w:rsidP="00EB2540">
      <w:pPr>
        <w:pStyle w:val="BodyText"/>
        <w:tabs>
          <w:tab w:val="left" w:pos="851"/>
        </w:tabs>
        <w:ind w:left="850" w:hanging="425"/>
        <w:rPr>
          <w:rFonts w:cs="Times New Roman (Body CS)"/>
        </w:rPr>
      </w:pPr>
    </w:p>
    <w:p w14:paraId="24625E30" w14:textId="77777777" w:rsidR="00CA52D1" w:rsidRDefault="00CA52D1" w:rsidP="00CA52D1">
      <w:pPr>
        <w:pStyle w:val="BodyText"/>
        <w:tabs>
          <w:tab w:val="left" w:pos="851"/>
        </w:tabs>
        <w:spacing w:before="360"/>
        <w:rPr>
          <w:rFonts w:cs="Times New Roman (Body CS)"/>
          <w:b/>
          <w:bCs/>
        </w:rPr>
      </w:pPr>
    </w:p>
    <w:p w14:paraId="2B5C6DE5" w14:textId="7EC69C2D" w:rsidR="00EB2540" w:rsidRPr="00EB2540" w:rsidRDefault="00EB2540" w:rsidP="00EB2540">
      <w:pPr>
        <w:pStyle w:val="BodyText"/>
        <w:numPr>
          <w:ilvl w:val="0"/>
          <w:numId w:val="7"/>
        </w:numPr>
        <w:tabs>
          <w:tab w:val="left" w:pos="851"/>
        </w:tabs>
        <w:spacing w:before="360"/>
        <w:ind w:left="426" w:hanging="426"/>
        <w:rPr>
          <w:rFonts w:cs="Times New Roman (Body CS)"/>
          <w:b/>
          <w:bCs/>
        </w:rPr>
      </w:pPr>
      <w:r w:rsidRPr="00EB2540">
        <w:rPr>
          <w:rFonts w:cs="Times New Roman (Body CS)"/>
          <w:b/>
          <w:bCs/>
        </w:rPr>
        <w:t xml:space="preserve">True or False: It is vital for </w:t>
      </w:r>
      <w:r w:rsidR="00CA52D1">
        <w:rPr>
          <w:rFonts w:cs="Times New Roman (Body CS)"/>
          <w:b/>
          <w:bCs/>
        </w:rPr>
        <w:t xml:space="preserve">architectural </w:t>
      </w:r>
      <w:r w:rsidRPr="00EB2540">
        <w:rPr>
          <w:rFonts w:cs="Times New Roman (Body CS)"/>
          <w:b/>
          <w:bCs/>
        </w:rPr>
        <w:t xml:space="preserve">documentation to be compliant with the </w:t>
      </w:r>
      <w:proofErr w:type="spellStart"/>
      <w:r w:rsidRPr="00EB2540">
        <w:rPr>
          <w:rFonts w:cs="Times New Roman (Body CS)"/>
          <w:b/>
          <w:bCs/>
        </w:rPr>
        <w:t>NCC</w:t>
      </w:r>
      <w:proofErr w:type="spellEnd"/>
      <w:r w:rsidRPr="00EB2540">
        <w:rPr>
          <w:rFonts w:cs="Times New Roman (Body CS)"/>
          <w:b/>
          <w:bCs/>
        </w:rPr>
        <w:t>, despite circumstances where only limited design documentation is required.</w:t>
      </w:r>
    </w:p>
    <w:p w14:paraId="13F0BD97" w14:textId="3BE4B79A" w:rsidR="00EB2540" w:rsidRPr="00EB2540" w:rsidRDefault="00EB2540" w:rsidP="00EB2540">
      <w:pPr>
        <w:pStyle w:val="BodyText"/>
        <w:tabs>
          <w:tab w:val="left" w:pos="851"/>
        </w:tabs>
        <w:ind w:left="850" w:hanging="425"/>
        <w:rPr>
          <w:rFonts w:cs="Times New Roman (Body CS)"/>
        </w:rPr>
      </w:pPr>
      <w:r w:rsidRPr="00EB2540">
        <w:rPr>
          <w:rFonts w:cs="Times New Roman (Body CS)"/>
        </w:rPr>
        <w:t xml:space="preserve">a. </w:t>
      </w:r>
      <w:r>
        <w:rPr>
          <w:rFonts w:cs="Times New Roman (Body CS)"/>
        </w:rPr>
        <w:tab/>
      </w:r>
      <w:r w:rsidRPr="00EB2540">
        <w:rPr>
          <w:rFonts w:cs="Times New Roman (Body CS)"/>
        </w:rPr>
        <w:t>True</w:t>
      </w:r>
    </w:p>
    <w:p w14:paraId="3AF790A2" w14:textId="11741D4D" w:rsidR="00CA52D1" w:rsidRPr="00CA52D1" w:rsidRDefault="00EB2540" w:rsidP="00CA52D1">
      <w:pPr>
        <w:pStyle w:val="BodyText"/>
        <w:tabs>
          <w:tab w:val="left" w:pos="851"/>
        </w:tabs>
        <w:ind w:left="850" w:hanging="425"/>
        <w:rPr>
          <w:rFonts w:cs="Times New Roman (Body CS)"/>
        </w:rPr>
      </w:pPr>
      <w:r w:rsidRPr="00EB2540">
        <w:rPr>
          <w:rFonts w:cs="Times New Roman (Body CS)"/>
        </w:rPr>
        <w:t>b.</w:t>
      </w:r>
      <w:r>
        <w:rPr>
          <w:rFonts w:cs="Times New Roman (Body CS)"/>
        </w:rPr>
        <w:tab/>
      </w:r>
      <w:r w:rsidRPr="00EB2540">
        <w:rPr>
          <w:rFonts w:cs="Times New Roman (Body CS)"/>
        </w:rPr>
        <w:t>False</w:t>
      </w:r>
    </w:p>
    <w:p w14:paraId="4674727D" w14:textId="77777777" w:rsidR="00CA52D1" w:rsidRPr="00E57492" w:rsidRDefault="00CA52D1" w:rsidP="00CA52D1">
      <w:pPr>
        <w:pStyle w:val="BodyText"/>
        <w:numPr>
          <w:ilvl w:val="0"/>
          <w:numId w:val="7"/>
        </w:numPr>
        <w:tabs>
          <w:tab w:val="left" w:pos="426"/>
          <w:tab w:val="left" w:pos="851"/>
        </w:tabs>
        <w:spacing w:before="360"/>
        <w:ind w:left="425" w:right="96" w:hanging="425"/>
        <w:rPr>
          <w:rFonts w:cs="Times New Roman (Body CS)"/>
          <w:b/>
          <w:bCs/>
        </w:rPr>
      </w:pPr>
      <w:r w:rsidRPr="00C376C3">
        <w:rPr>
          <w:rFonts w:cs="Times New Roman (Body CS)"/>
          <w:b/>
          <w:bCs/>
        </w:rPr>
        <w:t xml:space="preserve">Does the type of construction contract used for </w:t>
      </w:r>
      <w:proofErr w:type="gramStart"/>
      <w:r w:rsidRPr="00C376C3">
        <w:rPr>
          <w:rFonts w:cs="Times New Roman (Body CS)"/>
          <w:b/>
          <w:bCs/>
        </w:rPr>
        <w:t>a</w:t>
      </w:r>
      <w:proofErr w:type="gramEnd"/>
      <w:r w:rsidRPr="00C376C3">
        <w:rPr>
          <w:rFonts w:cs="Times New Roman (Body CS)"/>
          <w:b/>
          <w:bCs/>
        </w:rPr>
        <w:t xml:space="preserve"> NSW project ever </w:t>
      </w:r>
      <w:proofErr w:type="gramStart"/>
      <w:r w:rsidRPr="00C376C3">
        <w:rPr>
          <w:rFonts w:cs="Times New Roman (Body CS)"/>
          <w:b/>
          <w:bCs/>
        </w:rPr>
        <w:t>impact</w:t>
      </w:r>
      <w:proofErr w:type="gramEnd"/>
      <w:r w:rsidRPr="00C376C3">
        <w:rPr>
          <w:rFonts w:cs="Times New Roman (Body CS)"/>
          <w:b/>
          <w:bCs/>
        </w:rPr>
        <w:t xml:space="preserve"> an architect’s obligation to comply with the NSW Architects Code of Professional Conduct? What </w:t>
      </w:r>
      <w:r>
        <w:rPr>
          <w:rFonts w:cs="Times New Roman (Body CS)"/>
          <w:b/>
          <w:bCs/>
        </w:rPr>
        <w:t xml:space="preserve">should </w:t>
      </w:r>
      <w:r w:rsidRPr="00C376C3">
        <w:rPr>
          <w:rFonts w:cs="Times New Roman (Body CS)"/>
          <w:b/>
          <w:bCs/>
        </w:rPr>
        <w:t>you do</w:t>
      </w:r>
      <w:r w:rsidRPr="00E57492">
        <w:rPr>
          <w:rFonts w:cs="Times New Roman (Body CS)"/>
          <w:b/>
          <w:bCs/>
        </w:rPr>
        <w:t>?</w:t>
      </w:r>
    </w:p>
    <w:p w14:paraId="7C5904DE" w14:textId="77777777" w:rsidR="00CA52D1" w:rsidRPr="000574B3" w:rsidRDefault="00CA52D1" w:rsidP="00CA52D1">
      <w:pPr>
        <w:pStyle w:val="BodyText"/>
        <w:tabs>
          <w:tab w:val="right" w:pos="8931"/>
        </w:tabs>
        <w:ind w:left="426"/>
        <w:rPr>
          <w:rFonts w:cs="Times New Roman (Body CS)"/>
        </w:rPr>
      </w:pPr>
      <w:r w:rsidRPr="00927611">
        <w:rPr>
          <w:rFonts w:cs="Times New Roman (Body CS)"/>
          <w:u w:val="single"/>
        </w:rPr>
        <w:tab/>
      </w:r>
    </w:p>
    <w:p w14:paraId="7E1CA238" w14:textId="77777777" w:rsidR="00CA52D1" w:rsidRDefault="00CA52D1" w:rsidP="00CA52D1">
      <w:pPr>
        <w:pStyle w:val="BodyText"/>
        <w:tabs>
          <w:tab w:val="right" w:pos="8931"/>
        </w:tabs>
        <w:ind w:left="426"/>
        <w:rPr>
          <w:rFonts w:cs="Times New Roman (Body CS)"/>
          <w:u w:val="single"/>
        </w:rPr>
      </w:pPr>
      <w:r w:rsidRPr="00E57492">
        <w:rPr>
          <w:rFonts w:cs="Times New Roman (Body CS)"/>
          <w:u w:val="single"/>
        </w:rPr>
        <w:tab/>
      </w:r>
    </w:p>
    <w:p w14:paraId="2B883C00" w14:textId="77777777" w:rsidR="00CA52D1" w:rsidRPr="000574B3" w:rsidRDefault="00CA52D1" w:rsidP="00CA52D1">
      <w:pPr>
        <w:pStyle w:val="BodyText"/>
        <w:tabs>
          <w:tab w:val="right" w:pos="8931"/>
        </w:tabs>
        <w:ind w:left="426"/>
        <w:rPr>
          <w:rFonts w:cs="Times New Roman (Body CS)"/>
        </w:rPr>
      </w:pPr>
      <w:r w:rsidRPr="00927611">
        <w:rPr>
          <w:rFonts w:cs="Times New Roman (Body CS)"/>
          <w:u w:val="single"/>
        </w:rPr>
        <w:tab/>
      </w:r>
    </w:p>
    <w:p w14:paraId="24729701" w14:textId="77777777" w:rsidR="00CA52D1" w:rsidRDefault="00CA52D1" w:rsidP="00CA52D1">
      <w:pPr>
        <w:pStyle w:val="BodyText"/>
        <w:tabs>
          <w:tab w:val="right" w:pos="8931"/>
        </w:tabs>
        <w:ind w:left="426"/>
        <w:rPr>
          <w:rFonts w:cs="Times New Roman (Body CS)"/>
        </w:rPr>
      </w:pPr>
      <w:r w:rsidRPr="00E57492">
        <w:rPr>
          <w:rFonts w:cs="Times New Roman (Body CS)"/>
          <w:u w:val="single"/>
        </w:rPr>
        <w:tab/>
      </w:r>
    </w:p>
    <w:p w14:paraId="51BB377F" w14:textId="2909168A" w:rsidR="00EB2540" w:rsidRPr="00EB2540" w:rsidRDefault="00EB2540" w:rsidP="00EB2540">
      <w:pPr>
        <w:pStyle w:val="BodyText"/>
        <w:numPr>
          <w:ilvl w:val="0"/>
          <w:numId w:val="7"/>
        </w:numPr>
        <w:tabs>
          <w:tab w:val="left" w:pos="851"/>
        </w:tabs>
        <w:spacing w:before="360"/>
        <w:ind w:left="426" w:hanging="426"/>
        <w:rPr>
          <w:rFonts w:cs="Times New Roman (Body CS)"/>
          <w:b/>
          <w:bCs/>
        </w:rPr>
      </w:pPr>
      <w:r w:rsidRPr="00EB2540">
        <w:rPr>
          <w:rFonts w:cs="Times New Roman (Body CS)"/>
          <w:b/>
          <w:bCs/>
        </w:rPr>
        <w:t xml:space="preserve">Following from the </w:t>
      </w:r>
      <w:r>
        <w:rPr>
          <w:rFonts w:cs="Times New Roman (Body CS)"/>
          <w:b/>
          <w:bCs/>
        </w:rPr>
        <w:t>systemic risks research</w:t>
      </w:r>
      <w:r w:rsidRPr="00EB2540">
        <w:rPr>
          <w:rFonts w:cs="Times New Roman (Body CS)"/>
          <w:b/>
          <w:bCs/>
        </w:rPr>
        <w:t xml:space="preserve">, architects can assist themselves </w:t>
      </w:r>
      <w:r w:rsidR="00CA52D1">
        <w:rPr>
          <w:rFonts w:cs="Times New Roman (Body CS)"/>
          <w:b/>
          <w:bCs/>
        </w:rPr>
        <w:t xml:space="preserve">to address disruptive change </w:t>
      </w:r>
      <w:r w:rsidRPr="00EB2540">
        <w:rPr>
          <w:rFonts w:cs="Times New Roman (Body CS)"/>
          <w:b/>
          <w:bCs/>
        </w:rPr>
        <w:t>in which of the following ways (identify all relevant):</w:t>
      </w:r>
    </w:p>
    <w:p w14:paraId="164CD676" w14:textId="5CB27BEE" w:rsidR="00EB2540" w:rsidRPr="00EB2540" w:rsidRDefault="00EB2540" w:rsidP="00EB2540">
      <w:pPr>
        <w:pStyle w:val="BodyText"/>
        <w:tabs>
          <w:tab w:val="left" w:pos="851"/>
        </w:tabs>
        <w:ind w:left="850" w:hanging="425"/>
        <w:rPr>
          <w:rFonts w:cs="Times New Roman (Body CS)"/>
        </w:rPr>
      </w:pPr>
      <w:r w:rsidRPr="00EB2540">
        <w:rPr>
          <w:rFonts w:cs="Times New Roman (Body CS)"/>
        </w:rPr>
        <w:t>a.</w:t>
      </w:r>
      <w:r>
        <w:rPr>
          <w:rFonts w:cs="Times New Roman (Body CS)"/>
        </w:rPr>
        <w:tab/>
      </w:r>
      <w:r w:rsidRPr="00EB2540">
        <w:rPr>
          <w:rFonts w:cs="Times New Roman (Body CS)"/>
        </w:rPr>
        <w:t>Build practical skills to respond to disruptive change in a cost-effective way.</w:t>
      </w:r>
    </w:p>
    <w:p w14:paraId="1CCC1FBF" w14:textId="3C15B300" w:rsidR="00EB2540" w:rsidRPr="00EB2540" w:rsidRDefault="00EB2540" w:rsidP="00EB2540">
      <w:pPr>
        <w:pStyle w:val="BodyText"/>
        <w:tabs>
          <w:tab w:val="left" w:pos="851"/>
        </w:tabs>
        <w:ind w:left="850" w:hanging="425"/>
        <w:rPr>
          <w:rFonts w:cs="Times New Roman (Body CS)"/>
        </w:rPr>
      </w:pPr>
      <w:r w:rsidRPr="00EB2540">
        <w:rPr>
          <w:rFonts w:cs="Times New Roman (Body CS)"/>
        </w:rPr>
        <w:t>b.</w:t>
      </w:r>
      <w:r>
        <w:rPr>
          <w:rFonts w:cs="Times New Roman (Body CS)"/>
        </w:rPr>
        <w:tab/>
      </w:r>
      <w:r w:rsidRPr="00EB2540">
        <w:rPr>
          <w:rFonts w:cs="Times New Roman (Body CS)"/>
        </w:rPr>
        <w:t>Develop further knowledge around AI and developing technology to understand the changing nature of how architectural services are performed.</w:t>
      </w:r>
    </w:p>
    <w:p w14:paraId="0D6F9AD8" w14:textId="15DF8E0C" w:rsidR="00EB2540" w:rsidRPr="00EB2540" w:rsidRDefault="00EB2540" w:rsidP="00EB2540">
      <w:pPr>
        <w:pStyle w:val="BodyText"/>
        <w:tabs>
          <w:tab w:val="left" w:pos="851"/>
        </w:tabs>
        <w:ind w:left="850" w:hanging="425"/>
        <w:rPr>
          <w:rFonts w:cs="Times New Roman (Body CS)"/>
        </w:rPr>
      </w:pPr>
      <w:r w:rsidRPr="00EB2540">
        <w:rPr>
          <w:rFonts w:cs="Times New Roman (Body CS)"/>
        </w:rPr>
        <w:t>c.</w:t>
      </w:r>
      <w:r>
        <w:rPr>
          <w:rFonts w:cs="Times New Roman (Body CS)"/>
        </w:rPr>
        <w:tab/>
      </w:r>
      <w:r w:rsidRPr="00EB2540">
        <w:rPr>
          <w:rFonts w:cs="Times New Roman (Body CS)"/>
        </w:rPr>
        <w:t>Understand and gain a greater ability to respond to climate change, as this will impact on the practice in a positive way.</w:t>
      </w:r>
    </w:p>
    <w:p w14:paraId="1454B3B1" w14:textId="31DC48FA" w:rsidR="00EB2540" w:rsidRPr="00EB2540" w:rsidRDefault="00EB2540" w:rsidP="00EB2540">
      <w:pPr>
        <w:pStyle w:val="BodyText"/>
        <w:tabs>
          <w:tab w:val="left" w:pos="851"/>
        </w:tabs>
        <w:ind w:left="850" w:hanging="425"/>
        <w:rPr>
          <w:rFonts w:cs="Times New Roman (Body CS)"/>
        </w:rPr>
      </w:pPr>
      <w:r w:rsidRPr="00EB2540">
        <w:rPr>
          <w:rFonts w:cs="Times New Roman (Body CS)"/>
        </w:rPr>
        <w:t>d.</w:t>
      </w:r>
      <w:r>
        <w:rPr>
          <w:rFonts w:cs="Times New Roman (Body CS)"/>
        </w:rPr>
        <w:tab/>
      </w:r>
      <w:r w:rsidRPr="00EB2540">
        <w:rPr>
          <w:rFonts w:cs="Times New Roman (Body CS)"/>
        </w:rPr>
        <w:t>Climate change and AI are conspiracies which have no impact on the construction industry or architectural practice.</w:t>
      </w:r>
    </w:p>
    <w:p w14:paraId="224F6C85" w14:textId="7CD72609" w:rsidR="00EB2540" w:rsidRPr="00EB2540" w:rsidRDefault="008A4879" w:rsidP="00EB2540">
      <w:pPr>
        <w:pStyle w:val="BodyText"/>
        <w:numPr>
          <w:ilvl w:val="0"/>
          <w:numId w:val="7"/>
        </w:numPr>
        <w:tabs>
          <w:tab w:val="left" w:pos="851"/>
        </w:tabs>
        <w:spacing w:before="360"/>
        <w:ind w:left="426" w:hanging="426"/>
        <w:rPr>
          <w:rFonts w:cs="Times New Roman (Body CS)"/>
          <w:b/>
          <w:bCs/>
        </w:rPr>
      </w:pPr>
      <w:r>
        <w:rPr>
          <w:rFonts w:cs="Times New Roman (Body CS)"/>
          <w:b/>
          <w:bCs/>
        </w:rPr>
        <w:t>Going forward, architects should consider the</w:t>
      </w:r>
      <w:r w:rsidR="00EB2540" w:rsidRPr="00EB2540">
        <w:rPr>
          <w:rFonts w:cs="Times New Roman (Body CS)"/>
          <w:b/>
          <w:bCs/>
        </w:rPr>
        <w:t xml:space="preserve"> following </w:t>
      </w:r>
      <w:r>
        <w:rPr>
          <w:rFonts w:cs="Times New Roman (Body CS)"/>
          <w:b/>
          <w:bCs/>
        </w:rPr>
        <w:t>to help</w:t>
      </w:r>
      <w:r w:rsidR="00EB2540" w:rsidRPr="00EB2540">
        <w:rPr>
          <w:rFonts w:cs="Times New Roman (Body CS)"/>
          <w:b/>
          <w:bCs/>
        </w:rPr>
        <w:t xml:space="preserve"> traverse the</w:t>
      </w:r>
      <w:r>
        <w:rPr>
          <w:rFonts w:cs="Times New Roman (Body CS)"/>
          <w:b/>
          <w:bCs/>
        </w:rPr>
        <w:t xml:space="preserve"> systemic risks identified by the NSW ARB and ARBV research</w:t>
      </w:r>
      <w:r w:rsidR="00EB2540" w:rsidRPr="00EB2540">
        <w:rPr>
          <w:rFonts w:cs="Times New Roman (Body CS)"/>
          <w:b/>
          <w:bCs/>
        </w:rPr>
        <w:t xml:space="preserve"> (identify all relevant):</w:t>
      </w:r>
    </w:p>
    <w:p w14:paraId="75CCD45D" w14:textId="2EB7E6DC" w:rsidR="00EB2540" w:rsidRPr="00EB2540" w:rsidRDefault="00EB2540" w:rsidP="00EB2540">
      <w:pPr>
        <w:pStyle w:val="BodyText"/>
        <w:tabs>
          <w:tab w:val="left" w:pos="851"/>
        </w:tabs>
        <w:ind w:left="850" w:hanging="425"/>
        <w:rPr>
          <w:rFonts w:cs="Times New Roman (Body CS)"/>
        </w:rPr>
      </w:pPr>
      <w:r w:rsidRPr="00EB2540">
        <w:rPr>
          <w:rFonts w:cs="Times New Roman (Body CS)"/>
        </w:rPr>
        <w:t>a.</w:t>
      </w:r>
      <w:r>
        <w:rPr>
          <w:rFonts w:cs="Times New Roman (Body CS)"/>
        </w:rPr>
        <w:tab/>
      </w:r>
      <w:r w:rsidRPr="00EB2540">
        <w:rPr>
          <w:rFonts w:cs="Times New Roman (Body CS)"/>
        </w:rPr>
        <w:t>There is nothing to be done by industry bodies or the government to address systemic risks</w:t>
      </w:r>
      <w:r w:rsidR="008A4879">
        <w:rPr>
          <w:rFonts w:cs="Times New Roman (Body CS)"/>
        </w:rPr>
        <w:t xml:space="preserve"> in the Australian architecture sector</w:t>
      </w:r>
      <w:r w:rsidRPr="00EB2540">
        <w:rPr>
          <w:rFonts w:cs="Times New Roman (Body CS)"/>
        </w:rPr>
        <w:t>.</w:t>
      </w:r>
    </w:p>
    <w:p w14:paraId="4DFBFCE7" w14:textId="7D5CCFEE" w:rsidR="00EB2540" w:rsidRPr="00EB2540" w:rsidRDefault="00EB2540" w:rsidP="00EB2540">
      <w:pPr>
        <w:pStyle w:val="BodyText"/>
        <w:tabs>
          <w:tab w:val="left" w:pos="851"/>
        </w:tabs>
        <w:ind w:left="850" w:hanging="425"/>
        <w:rPr>
          <w:rFonts w:cs="Times New Roman (Body CS)"/>
        </w:rPr>
      </w:pPr>
      <w:r w:rsidRPr="00EB2540">
        <w:rPr>
          <w:rFonts w:cs="Times New Roman (Body CS)"/>
        </w:rPr>
        <w:t xml:space="preserve">b. </w:t>
      </w:r>
      <w:r>
        <w:rPr>
          <w:rFonts w:cs="Times New Roman (Body CS)"/>
        </w:rPr>
        <w:tab/>
      </w:r>
      <w:r w:rsidRPr="00EB2540">
        <w:rPr>
          <w:rFonts w:cs="Times New Roman (Body CS)"/>
        </w:rPr>
        <w:t xml:space="preserve">Architects should </w:t>
      </w:r>
      <w:r w:rsidR="008A4879" w:rsidRPr="00EB2540">
        <w:rPr>
          <w:rFonts w:cs="Times New Roman (Body CS)"/>
        </w:rPr>
        <w:t xml:space="preserve">commit to regulatory compliance and use professional standards to assist them </w:t>
      </w:r>
      <w:r w:rsidR="008A4879">
        <w:rPr>
          <w:rFonts w:cs="Times New Roman (Body CS)"/>
        </w:rPr>
        <w:t>to</w:t>
      </w:r>
      <w:r w:rsidRPr="00EB2540">
        <w:rPr>
          <w:rFonts w:cs="Times New Roman (Body CS)"/>
        </w:rPr>
        <w:t xml:space="preserve"> navigate current market conditions</w:t>
      </w:r>
      <w:r w:rsidR="00A15A0A">
        <w:rPr>
          <w:rFonts w:cs="Times New Roman (Body CS)"/>
        </w:rPr>
        <w:t xml:space="preserve">, </w:t>
      </w:r>
      <w:r w:rsidRPr="00EB2540">
        <w:rPr>
          <w:rFonts w:cs="Times New Roman (Body CS)"/>
        </w:rPr>
        <w:t>systemic risks and disruptive change.</w:t>
      </w:r>
    </w:p>
    <w:p w14:paraId="514CE03F" w14:textId="0157F1B7" w:rsidR="00EB2540" w:rsidRPr="00EB2540" w:rsidRDefault="00EB2540" w:rsidP="00EB2540">
      <w:pPr>
        <w:pStyle w:val="BodyText"/>
        <w:tabs>
          <w:tab w:val="left" w:pos="851"/>
        </w:tabs>
        <w:ind w:left="850" w:hanging="425"/>
        <w:rPr>
          <w:rFonts w:cs="Times New Roman (Body CS)"/>
        </w:rPr>
      </w:pPr>
      <w:r w:rsidRPr="00EB2540">
        <w:rPr>
          <w:rFonts w:cs="Times New Roman (Body CS)"/>
        </w:rPr>
        <w:t>c.</w:t>
      </w:r>
      <w:r>
        <w:rPr>
          <w:rFonts w:cs="Times New Roman (Body CS)"/>
        </w:rPr>
        <w:tab/>
      </w:r>
      <w:r w:rsidRPr="00EB2540">
        <w:rPr>
          <w:rFonts w:cs="Times New Roman (Body CS)"/>
        </w:rPr>
        <w:t xml:space="preserve">There is nothing that can be done by architects to </w:t>
      </w:r>
      <w:r w:rsidR="00A15A0A">
        <w:rPr>
          <w:rFonts w:cs="Times New Roman (Body CS)"/>
        </w:rPr>
        <w:t xml:space="preserve">better </w:t>
      </w:r>
      <w:r w:rsidRPr="00EB2540">
        <w:rPr>
          <w:rFonts w:cs="Times New Roman (Body CS)"/>
        </w:rPr>
        <w:t>handle client-architect relationships.</w:t>
      </w:r>
    </w:p>
    <w:p w14:paraId="556B50C4" w14:textId="25E0B80C" w:rsidR="00EB2540" w:rsidRPr="00EB2540" w:rsidRDefault="00EB2540" w:rsidP="00EB2540">
      <w:pPr>
        <w:pStyle w:val="BodyText"/>
        <w:tabs>
          <w:tab w:val="left" w:pos="851"/>
        </w:tabs>
        <w:ind w:left="850" w:hanging="425"/>
        <w:rPr>
          <w:rFonts w:cs="Times New Roman (Body CS)"/>
        </w:rPr>
      </w:pPr>
      <w:r w:rsidRPr="00EB2540">
        <w:rPr>
          <w:rFonts w:cs="Times New Roman (Body CS)"/>
        </w:rPr>
        <w:t xml:space="preserve">d. </w:t>
      </w:r>
      <w:r>
        <w:rPr>
          <w:rFonts w:cs="Times New Roman (Body CS)"/>
        </w:rPr>
        <w:tab/>
      </w:r>
      <w:r w:rsidRPr="00EB2540">
        <w:rPr>
          <w:rFonts w:cs="Times New Roman (Body CS)"/>
        </w:rPr>
        <w:t>The main systemic risk</w:t>
      </w:r>
      <w:r w:rsidR="00A15A0A">
        <w:rPr>
          <w:rFonts w:cs="Times New Roman (Body CS)"/>
        </w:rPr>
        <w:t>s</w:t>
      </w:r>
      <w:r w:rsidRPr="00EB2540">
        <w:rPr>
          <w:rFonts w:cs="Times New Roman (Body CS)"/>
        </w:rPr>
        <w:t xml:space="preserve"> to watch out for are </w:t>
      </w:r>
      <w:proofErr w:type="spellStart"/>
      <w:r w:rsidRPr="00EB2540">
        <w:rPr>
          <w:rFonts w:cs="Times New Roman (Body CS)"/>
        </w:rPr>
        <w:t>NCC</w:t>
      </w:r>
      <w:proofErr w:type="spellEnd"/>
      <w:r w:rsidRPr="00EB2540">
        <w:rPr>
          <w:rFonts w:cs="Times New Roman (Body CS)"/>
        </w:rPr>
        <w:t xml:space="preserve"> compliance, disruptive forces, procurement models and the client-architect relationship.</w:t>
      </w:r>
    </w:p>
    <w:p w14:paraId="0299F535" w14:textId="6E57984C" w:rsidR="00F054FE" w:rsidRPr="00BE3060" w:rsidRDefault="00F054FE" w:rsidP="00F054FE">
      <w:pPr>
        <w:pStyle w:val="BodyText"/>
        <w:tabs>
          <w:tab w:val="left" w:pos="426"/>
          <w:tab w:val="right" w:pos="8931"/>
        </w:tabs>
        <w:rPr>
          <w:rFonts w:cs="Times New Roman (Body CS)"/>
          <w:u w:val="single"/>
        </w:rPr>
      </w:pPr>
    </w:p>
    <w:sectPr w:rsidR="00F054FE" w:rsidRPr="00BE3060" w:rsidSect="00CA52D1">
      <w:headerReference w:type="default" r:id="rId16"/>
      <w:footerReference w:type="default" r:id="rId17"/>
      <w:pgSz w:w="11906" w:h="16838"/>
      <w:pgMar w:top="1702" w:right="1440" w:bottom="851" w:left="1440" w:header="68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0FBA6" w14:textId="77777777" w:rsidR="00C156C1" w:rsidRDefault="00C156C1" w:rsidP="004470AE">
      <w:r>
        <w:separator/>
      </w:r>
    </w:p>
    <w:p w14:paraId="3472D909" w14:textId="77777777" w:rsidR="00C156C1" w:rsidRDefault="00C156C1"/>
  </w:endnote>
  <w:endnote w:type="continuationSeparator" w:id="0">
    <w:p w14:paraId="68A5FD6E" w14:textId="77777777" w:rsidR="00C156C1" w:rsidRDefault="00C156C1" w:rsidP="004470AE">
      <w:r>
        <w:continuationSeparator/>
      </w:r>
    </w:p>
    <w:p w14:paraId="42F855BA" w14:textId="77777777" w:rsidR="00C156C1" w:rsidRDefault="00C15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Rounded Book">
    <w:altName w:val="Calibri"/>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PublicSans-Light">
    <w:altName w:val="Cambria"/>
    <w:panose1 w:val="00000000000000000000"/>
    <w:charset w:val="4D"/>
    <w:family w:val="auto"/>
    <w:notTrueType/>
    <w:pitch w:val="variable"/>
    <w:sig w:usb0="20000007" w:usb1="00000000" w:usb2="00000000" w:usb3="00000000" w:csb0="00000193" w:csb1="00000000"/>
  </w:font>
  <w:font w:name="Times New Roman (Body CS)">
    <w:altName w:val="Times New Roman"/>
    <w:panose1 w:val="00000000000000000000"/>
    <w:charset w:val="00"/>
    <w:family w:val="roman"/>
    <w:notTrueType/>
    <w:pitch w:val="default"/>
  </w:font>
  <w:font w:name="Gotham Rounded Medium">
    <w:panose1 w:val="00000000000000000000"/>
    <w:charset w:val="00"/>
    <w:family w:val="modern"/>
    <w:notTrueType/>
    <w:pitch w:val="variable"/>
    <w:sig w:usb0="A00000FF" w:usb1="4000004A" w:usb2="00000000" w:usb3="00000000" w:csb0="0000000B" w:csb1="00000000"/>
  </w:font>
  <w:font w:name="MinionPro-Regular">
    <w:altName w:val="Calibri"/>
    <w:panose1 w:val="00000000000000000000"/>
    <w:charset w:val="4D"/>
    <w:family w:val="auto"/>
    <w:notTrueType/>
    <w:pitch w:val="default"/>
    <w:sig w:usb0="00000003" w:usb1="00000000" w:usb2="00000000" w:usb3="00000000" w:csb0="00000001" w:csb1="00000000"/>
  </w:font>
  <w:font w:name="Public Sans">
    <w:altName w:val="Calibri"/>
    <w:panose1 w:val="00000000000000000000"/>
    <w:charset w:val="00"/>
    <w:family w:val="auto"/>
    <w:pitch w:val="variable"/>
    <w:sig w:usb0="A00000FF" w:usb1="4000205B" w:usb2="00000000" w:usb3="00000000" w:csb0="00000193" w:csb1="00000000"/>
  </w:font>
  <w:font w:name="Public Sans Medium">
    <w:altName w:val="Calibri"/>
    <w:panose1 w:val="00000000000000000000"/>
    <w:charset w:val="00"/>
    <w:family w:val="auto"/>
    <w:pitch w:val="variable"/>
    <w:sig w:usb0="A00000FF" w:usb1="4000205B" w:usb2="00000000" w:usb3="00000000" w:csb0="00000193" w:csb1="00000000"/>
  </w:font>
  <w:font w:name="Calibri Light (Headings)">
    <w:altName w:val="Calibri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22265719"/>
      <w:docPartObj>
        <w:docPartGallery w:val="Page Numbers (Bottom of Page)"/>
        <w:docPartUnique/>
      </w:docPartObj>
    </w:sdtPr>
    <w:sdtContent>
      <w:p w14:paraId="63A630E7" w14:textId="4A4ABD9E" w:rsidR="008A0D2E" w:rsidRDefault="008A0D2E" w:rsidP="008675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61137865"/>
      <w:docPartObj>
        <w:docPartGallery w:val="Page Numbers (Bottom of Page)"/>
        <w:docPartUnique/>
      </w:docPartObj>
    </w:sdtPr>
    <w:sdtContent>
      <w:p w14:paraId="12B11E2A" w14:textId="157E0C06" w:rsidR="004470AE" w:rsidRDefault="004470AE" w:rsidP="0086756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9D7575" w14:textId="77777777" w:rsidR="004470AE" w:rsidRDefault="004470AE" w:rsidP="004470AE">
    <w:pPr>
      <w:pStyle w:val="Footer"/>
      <w:ind w:right="360"/>
    </w:pPr>
  </w:p>
  <w:p w14:paraId="5BFD41F7" w14:textId="77777777" w:rsidR="009E0ED8" w:rsidRDefault="009E0ED8"/>
  <w:p w14:paraId="118579CC" w14:textId="77777777" w:rsidR="009E0ED8" w:rsidRDefault="009E0ED8"/>
  <w:p w14:paraId="01D9DBF5" w14:textId="77777777" w:rsidR="009E0ED8" w:rsidRDefault="009E0E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C5AA4" w14:textId="0AE10ACA" w:rsidR="004470AE" w:rsidRPr="004D7564" w:rsidRDefault="004470AE" w:rsidP="00867566">
    <w:pPr>
      <w:pStyle w:val="FOOTERcoverpage"/>
      <w:ind w:right="360"/>
      <w:rPr>
        <w:rStyle w:val="PageNumber"/>
        <w:rFonts w:ascii="Public Sans Light" w:hAnsi="Public Sans Light" w:cs="Public Sans Light"/>
        <w:color w:val="0C2C74"/>
        <w:sz w:val="14"/>
        <w:szCs w:val="14"/>
      </w:rPr>
    </w:pPr>
    <w:r w:rsidRPr="004D7564">
      <w:rPr>
        <w:rStyle w:val="PageNumber"/>
        <w:rFonts w:ascii="Public Sans Light" w:hAnsi="Public Sans Light" w:cs="Public Sans Light"/>
        <w:color w:val="0C2C74"/>
        <w:sz w:val="14"/>
        <w:szCs w:val="14"/>
      </w:rPr>
      <w:t>On Gadigal Country.</w:t>
    </w:r>
  </w:p>
  <w:p w14:paraId="0B71DBB1" w14:textId="082D1712" w:rsidR="008A0D2E" w:rsidRPr="004D7564" w:rsidRDefault="009003B9" w:rsidP="00867566">
    <w:pPr>
      <w:pStyle w:val="FOOTERcoverpage"/>
      <w:rPr>
        <w:rStyle w:val="PageNumber"/>
        <w:rFonts w:ascii="Public Sans Light" w:hAnsi="Public Sans Light" w:cs="Public Sans Light"/>
        <w:color w:val="364392"/>
        <w:sz w:val="14"/>
        <w:szCs w:val="14"/>
      </w:rPr>
    </w:pPr>
    <w:r w:rsidRPr="004D7564">
      <w:rPr>
        <w:rStyle w:val="PageNumber"/>
        <w:rFonts w:ascii="Public Sans Light" w:hAnsi="Public Sans Light" w:cs="Public Sans Light"/>
        <w:color w:val="364392"/>
        <w:sz w:val="14"/>
        <w:szCs w:val="14"/>
      </w:rPr>
      <w:t>Protecting consumers.     Registering architects.     Informing the public.     Promoting architecture.</w:t>
    </w:r>
  </w:p>
  <w:p w14:paraId="25A8A289" w14:textId="14EB4101" w:rsidR="009003B9" w:rsidRPr="009003B9" w:rsidRDefault="009003B9" w:rsidP="00867566">
    <w:pPr>
      <w:pStyle w:val="FOOTERcoverpage"/>
      <w:rPr>
        <w:color w:val="000000" w:themeColor="text1"/>
      </w:rPr>
    </w:pPr>
    <w:r w:rsidRPr="009003B9">
      <w:rPr>
        <w:rStyle w:val="PageNumber"/>
        <w:rFonts w:ascii="Public Sans Light" w:hAnsi="Public Sans Light" w:cs="Public Sans Light"/>
        <w:color w:val="000000" w:themeColor="text1"/>
        <w:sz w:val="14"/>
        <w:szCs w:val="14"/>
      </w:rPr>
      <w:t>Level 2, 156 Gloucester St</w:t>
    </w:r>
    <w:r w:rsidR="00755B31">
      <w:rPr>
        <w:rStyle w:val="PageNumber"/>
        <w:rFonts w:ascii="Public Sans Light" w:hAnsi="Public Sans Light" w:cs="Public Sans Light"/>
        <w:color w:val="000000" w:themeColor="text1"/>
        <w:sz w:val="14"/>
        <w:szCs w:val="14"/>
      </w:rPr>
      <w:t>reet</w:t>
    </w:r>
    <w:r w:rsidRPr="009003B9">
      <w:rPr>
        <w:rStyle w:val="PageNumber"/>
        <w:rFonts w:ascii="Public Sans Light" w:hAnsi="Public Sans Light" w:cs="Public Sans Light"/>
        <w:color w:val="000000" w:themeColor="text1"/>
        <w:sz w:val="14"/>
        <w:szCs w:val="14"/>
      </w:rPr>
      <w:t xml:space="preserve"> Sydney NSW 2000     02 9241 4033     mail@architects.nsw.gov.au     </w:t>
    </w:r>
    <w:hyperlink r:id="rId1" w:history="1">
      <w:r w:rsidRPr="00052001">
        <w:rPr>
          <w:rStyle w:val="Hyperlink"/>
        </w:rPr>
        <w:t>architects.nsw.gov.au</w:t>
      </w:r>
    </w:hyperlink>
  </w:p>
  <w:p w14:paraId="1EBA03DE" w14:textId="77777777" w:rsidR="009E0ED8" w:rsidRDefault="009E0ED8"/>
  <w:p w14:paraId="51ABB763" w14:textId="77777777" w:rsidR="009E0ED8" w:rsidRDefault="009E0ED8"/>
  <w:p w14:paraId="3572A272" w14:textId="77777777" w:rsidR="009E0ED8" w:rsidRDefault="009E0E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5945212"/>
      <w:docPartObj>
        <w:docPartGallery w:val="Page Numbers (Bottom of Page)"/>
        <w:docPartUnique/>
      </w:docPartObj>
    </w:sdtPr>
    <w:sdtContent>
      <w:p w14:paraId="1E0FAAC6" w14:textId="26648532" w:rsidR="00D00CDF" w:rsidRDefault="00D00CDF" w:rsidP="004272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404DBE" w14:textId="4C51AEF0" w:rsidR="00D00CDF" w:rsidRPr="009003B9" w:rsidRDefault="00D00CDF" w:rsidP="00D00CDF">
    <w:pPr>
      <w:pStyle w:val="NoParagraphStyle"/>
      <w:suppressAutoHyphens/>
      <w:spacing w:line="240" w:lineRule="auto"/>
      <w:ind w:right="360"/>
      <w:rPr>
        <w:rFonts w:ascii="Public Sans Light" w:hAnsi="Public Sans Light" w:cs="Public Sans Light"/>
        <w:color w:val="000000" w:themeColor="text1"/>
        <w:sz w:val="14"/>
        <w:szCs w:val="14"/>
      </w:rPr>
    </w:pPr>
    <w:r>
      <w:rPr>
        <w:rStyle w:val="PageNumber"/>
        <w:rFonts w:ascii="Public Sans Light" w:hAnsi="Public Sans Light" w:cs="Public Sans Light"/>
        <w:color w:val="000000" w:themeColor="text1"/>
        <w:sz w:val="14"/>
        <w:szCs w:val="14"/>
      </w:rPr>
      <w:t xml:space="preserve">                                   </w:t>
    </w:r>
  </w:p>
  <w:p w14:paraId="5633E028" w14:textId="77777777" w:rsidR="00D00CDF" w:rsidRDefault="00D00CDF"/>
  <w:p w14:paraId="1F2B4303" w14:textId="77777777" w:rsidR="00D00CDF" w:rsidRDefault="00D00C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3C64E" w14:textId="77777777" w:rsidR="00C156C1" w:rsidRDefault="00C156C1" w:rsidP="004470AE">
      <w:r>
        <w:separator/>
      </w:r>
    </w:p>
    <w:p w14:paraId="0E0B89A3" w14:textId="77777777" w:rsidR="00C156C1" w:rsidRDefault="00C156C1"/>
  </w:footnote>
  <w:footnote w:type="continuationSeparator" w:id="0">
    <w:p w14:paraId="3D3881BB" w14:textId="77777777" w:rsidR="00C156C1" w:rsidRDefault="00C156C1" w:rsidP="004470AE">
      <w:r>
        <w:continuationSeparator/>
      </w:r>
    </w:p>
    <w:p w14:paraId="3BD5BBE0" w14:textId="77777777" w:rsidR="00C156C1" w:rsidRDefault="00C156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DB5B8" w14:textId="295763C3" w:rsidR="004470AE" w:rsidRDefault="00790BAB">
    <w:pPr>
      <w:pStyle w:val="Header"/>
    </w:pPr>
    <w:r>
      <w:rPr>
        <w:noProof/>
      </w:rPr>
      <w:drawing>
        <wp:inline distT="0" distB="0" distL="0" distR="0" wp14:anchorId="41B96FAF" wp14:editId="189B0AA8">
          <wp:extent cx="2450858" cy="541165"/>
          <wp:effectExtent l="0" t="0" r="63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867837" cy="633237"/>
                  </a:xfrm>
                  <a:prstGeom prst="rect">
                    <a:avLst/>
                  </a:prstGeom>
                </pic:spPr>
              </pic:pic>
            </a:graphicData>
          </a:graphic>
        </wp:inline>
      </w:drawing>
    </w:r>
  </w:p>
  <w:p w14:paraId="5D8EDF74" w14:textId="77777777" w:rsidR="009E0ED8" w:rsidRDefault="009E0ED8"/>
  <w:p w14:paraId="5C5713CF" w14:textId="77777777" w:rsidR="009E0ED8" w:rsidRDefault="009E0ED8"/>
  <w:p w14:paraId="6D9A8884" w14:textId="77777777" w:rsidR="009E0ED8" w:rsidRDefault="009E0E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CFEA8" w14:textId="342C071D" w:rsidR="0007381D" w:rsidRDefault="0007381D">
    <w:pPr>
      <w:pStyle w:val="Header"/>
    </w:pPr>
    <w:r>
      <w:rPr>
        <w:noProof/>
      </w:rPr>
      <w:drawing>
        <wp:inline distT="0" distB="0" distL="0" distR="0" wp14:anchorId="37A02B82" wp14:editId="6988B64A">
          <wp:extent cx="1633855" cy="373438"/>
          <wp:effectExtent l="0" t="0" r="4445" b="0"/>
          <wp:docPr id="1671825191" name="Picture 1671825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38444" cy="420199"/>
                  </a:xfrm>
                  <a:prstGeom prst="rect">
                    <a:avLst/>
                  </a:prstGeom>
                </pic:spPr>
              </pic:pic>
            </a:graphicData>
          </a:graphic>
        </wp:inline>
      </w:drawing>
    </w:r>
  </w:p>
  <w:p w14:paraId="00B3EF71" w14:textId="77777777" w:rsidR="0007381D" w:rsidRDefault="00073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58DE"/>
    <w:multiLevelType w:val="hybridMultilevel"/>
    <w:tmpl w:val="AD042710"/>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A15DA9"/>
    <w:multiLevelType w:val="hybridMultilevel"/>
    <w:tmpl w:val="F6024D32"/>
    <w:lvl w:ilvl="0" w:tplc="5EE84452">
      <w:numFmt w:val="bullet"/>
      <w:lvlText w:val="•"/>
      <w:lvlJc w:val="left"/>
      <w:pPr>
        <w:ind w:left="720" w:hanging="360"/>
      </w:pPr>
      <w:rPr>
        <w:rFonts w:ascii="Gotham Rounded Book" w:eastAsiaTheme="minorHAnsi" w:hAnsi="Gotham Rounded Book"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8A0BE1"/>
    <w:multiLevelType w:val="hybridMultilevel"/>
    <w:tmpl w:val="96BA00E2"/>
    <w:lvl w:ilvl="0" w:tplc="B13A93F4">
      <w:numFmt w:val="bullet"/>
      <w:lvlText w:val="•"/>
      <w:lvlJc w:val="left"/>
      <w:pPr>
        <w:ind w:left="1080" w:hanging="720"/>
      </w:pPr>
      <w:rPr>
        <w:rFonts w:ascii="Public Sans Light" w:eastAsia="PublicSans-Light" w:hAnsi="Public Sans Light" w:cs="PublicSans-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EB3002"/>
    <w:multiLevelType w:val="hybridMultilevel"/>
    <w:tmpl w:val="FCC4AD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7B47A2"/>
    <w:multiLevelType w:val="hybridMultilevel"/>
    <w:tmpl w:val="A418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377DA1"/>
    <w:multiLevelType w:val="hybridMultilevel"/>
    <w:tmpl w:val="EF06728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660" w:hanging="360"/>
      </w:pPr>
    </w:lvl>
  </w:abstractNum>
  <w:abstractNum w:abstractNumId="6" w15:restartNumberingAfterBreak="0">
    <w:nsid w:val="303F2C0B"/>
    <w:multiLevelType w:val="hybridMultilevel"/>
    <w:tmpl w:val="E4BA377E"/>
    <w:lvl w:ilvl="0" w:tplc="9126FAC4">
      <w:numFmt w:val="bullet"/>
      <w:lvlText w:val="•"/>
      <w:lvlJc w:val="left"/>
      <w:pPr>
        <w:ind w:left="1080" w:hanging="720"/>
      </w:pPr>
      <w:rPr>
        <w:rFonts w:ascii="Public Sans Light" w:eastAsia="PublicSans-Light" w:hAnsi="Public Sans Light" w:cs="PublicSans-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491B41"/>
    <w:multiLevelType w:val="multilevel"/>
    <w:tmpl w:val="7082CAF2"/>
    <w:styleLink w:val="CurrentList1"/>
    <w:lvl w:ilvl="0">
      <w:numFmt w:val="bullet"/>
      <w:lvlText w:val="•"/>
      <w:lvlJc w:val="left"/>
      <w:pPr>
        <w:ind w:left="1440" w:hanging="720"/>
      </w:pPr>
      <w:rPr>
        <w:rFonts w:ascii="Public Sans Light" w:eastAsiaTheme="minorHAnsi" w:hAnsi="Public Sans Light" w:cs="Times New Roman (Body C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377D68B4"/>
    <w:multiLevelType w:val="hybridMultilevel"/>
    <w:tmpl w:val="C80E48C4"/>
    <w:lvl w:ilvl="0" w:tplc="E6526BA4">
      <w:start w:val="1"/>
      <w:numFmt w:val="bullet"/>
      <w:pStyle w:val="BulletesLis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C024C15"/>
    <w:multiLevelType w:val="hybridMultilevel"/>
    <w:tmpl w:val="EF0C5CA6"/>
    <w:lvl w:ilvl="0" w:tplc="5EE84452">
      <w:numFmt w:val="bullet"/>
      <w:lvlText w:val="•"/>
      <w:lvlJc w:val="left"/>
      <w:pPr>
        <w:ind w:left="720" w:hanging="360"/>
      </w:pPr>
      <w:rPr>
        <w:rFonts w:ascii="Gotham Rounded Book" w:eastAsiaTheme="minorHAnsi" w:hAnsi="Gotham Rounded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EC6A38"/>
    <w:multiLevelType w:val="hybridMultilevel"/>
    <w:tmpl w:val="6AA820CC"/>
    <w:lvl w:ilvl="0" w:tplc="0C09001B">
      <w:start w:val="1"/>
      <w:numFmt w:val="lowerRoman"/>
      <w:lvlText w:val="%1."/>
      <w:lvlJc w:val="right"/>
      <w:pPr>
        <w:ind w:left="1146" w:hanging="360"/>
      </w:p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 w15:restartNumberingAfterBreak="0">
    <w:nsid w:val="49325431"/>
    <w:multiLevelType w:val="hybridMultilevel"/>
    <w:tmpl w:val="54325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C5253A"/>
    <w:multiLevelType w:val="hybridMultilevel"/>
    <w:tmpl w:val="90800F8E"/>
    <w:lvl w:ilvl="0" w:tplc="0C09000F">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3" w15:restartNumberingAfterBreak="0">
    <w:nsid w:val="5B18013E"/>
    <w:multiLevelType w:val="hybridMultilevel"/>
    <w:tmpl w:val="2E26AC62"/>
    <w:lvl w:ilvl="0" w:tplc="996C71B0">
      <w:start w:val="1"/>
      <w:numFmt w:val="lowerRoman"/>
      <w:lvlText w:val="%1."/>
      <w:lvlJc w:val="right"/>
      <w:pPr>
        <w:ind w:left="3702" w:hanging="360"/>
      </w:pPr>
    </w:lvl>
    <w:lvl w:ilvl="1" w:tplc="0C090019">
      <w:start w:val="1"/>
      <w:numFmt w:val="lowerLetter"/>
      <w:lvlText w:val="%2."/>
      <w:lvlJc w:val="left"/>
      <w:pPr>
        <w:ind w:left="4422" w:hanging="360"/>
      </w:pPr>
    </w:lvl>
    <w:lvl w:ilvl="2" w:tplc="0C09001B" w:tentative="1">
      <w:start w:val="1"/>
      <w:numFmt w:val="lowerRoman"/>
      <w:lvlText w:val="%3."/>
      <w:lvlJc w:val="right"/>
      <w:pPr>
        <w:ind w:left="5142" w:hanging="180"/>
      </w:pPr>
    </w:lvl>
    <w:lvl w:ilvl="3" w:tplc="0C09000F" w:tentative="1">
      <w:start w:val="1"/>
      <w:numFmt w:val="decimal"/>
      <w:lvlText w:val="%4."/>
      <w:lvlJc w:val="left"/>
      <w:pPr>
        <w:ind w:left="5862" w:hanging="360"/>
      </w:pPr>
    </w:lvl>
    <w:lvl w:ilvl="4" w:tplc="0C090019" w:tentative="1">
      <w:start w:val="1"/>
      <w:numFmt w:val="lowerLetter"/>
      <w:lvlText w:val="%5."/>
      <w:lvlJc w:val="left"/>
      <w:pPr>
        <w:ind w:left="6582" w:hanging="360"/>
      </w:pPr>
    </w:lvl>
    <w:lvl w:ilvl="5" w:tplc="0C09001B" w:tentative="1">
      <w:start w:val="1"/>
      <w:numFmt w:val="lowerRoman"/>
      <w:lvlText w:val="%6."/>
      <w:lvlJc w:val="right"/>
      <w:pPr>
        <w:ind w:left="7302" w:hanging="180"/>
      </w:pPr>
    </w:lvl>
    <w:lvl w:ilvl="6" w:tplc="0C09000F" w:tentative="1">
      <w:start w:val="1"/>
      <w:numFmt w:val="decimal"/>
      <w:lvlText w:val="%7."/>
      <w:lvlJc w:val="left"/>
      <w:pPr>
        <w:ind w:left="8022" w:hanging="360"/>
      </w:pPr>
    </w:lvl>
    <w:lvl w:ilvl="7" w:tplc="0C090019" w:tentative="1">
      <w:start w:val="1"/>
      <w:numFmt w:val="lowerLetter"/>
      <w:lvlText w:val="%8."/>
      <w:lvlJc w:val="left"/>
      <w:pPr>
        <w:ind w:left="8742" w:hanging="360"/>
      </w:pPr>
    </w:lvl>
    <w:lvl w:ilvl="8" w:tplc="0C09001B" w:tentative="1">
      <w:start w:val="1"/>
      <w:numFmt w:val="lowerRoman"/>
      <w:lvlText w:val="%9."/>
      <w:lvlJc w:val="right"/>
      <w:pPr>
        <w:ind w:left="9462" w:hanging="180"/>
      </w:pPr>
    </w:lvl>
  </w:abstractNum>
  <w:abstractNum w:abstractNumId="14" w15:restartNumberingAfterBreak="0">
    <w:nsid w:val="5E0079D8"/>
    <w:multiLevelType w:val="hybridMultilevel"/>
    <w:tmpl w:val="347CF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773144"/>
    <w:multiLevelType w:val="hybridMultilevel"/>
    <w:tmpl w:val="B5D40B3E"/>
    <w:lvl w:ilvl="0" w:tplc="6D68CB3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5F6E26"/>
    <w:multiLevelType w:val="hybridMultilevel"/>
    <w:tmpl w:val="D010A916"/>
    <w:lvl w:ilvl="0" w:tplc="9F12FB56">
      <w:start w:val="4"/>
      <w:numFmt w:val="lowerRoman"/>
      <w:lvlText w:val="%1."/>
      <w:lvlJc w:val="right"/>
      <w:pPr>
        <w:ind w:left="1376" w:hanging="360"/>
      </w:pPr>
      <w:rPr>
        <w:rFonts w:hint="default"/>
      </w:rPr>
    </w:lvl>
    <w:lvl w:ilvl="1" w:tplc="0C090019" w:tentative="1">
      <w:start w:val="1"/>
      <w:numFmt w:val="lowerLetter"/>
      <w:lvlText w:val="%2."/>
      <w:lvlJc w:val="left"/>
      <w:pPr>
        <w:ind w:left="2096" w:hanging="360"/>
      </w:pPr>
    </w:lvl>
    <w:lvl w:ilvl="2" w:tplc="0C09001B" w:tentative="1">
      <w:start w:val="1"/>
      <w:numFmt w:val="lowerRoman"/>
      <w:lvlText w:val="%3."/>
      <w:lvlJc w:val="right"/>
      <w:pPr>
        <w:ind w:left="2816" w:hanging="180"/>
      </w:pPr>
    </w:lvl>
    <w:lvl w:ilvl="3" w:tplc="0C09000F" w:tentative="1">
      <w:start w:val="1"/>
      <w:numFmt w:val="decimal"/>
      <w:lvlText w:val="%4."/>
      <w:lvlJc w:val="left"/>
      <w:pPr>
        <w:ind w:left="3536" w:hanging="360"/>
      </w:pPr>
    </w:lvl>
    <w:lvl w:ilvl="4" w:tplc="0C090019" w:tentative="1">
      <w:start w:val="1"/>
      <w:numFmt w:val="lowerLetter"/>
      <w:lvlText w:val="%5."/>
      <w:lvlJc w:val="left"/>
      <w:pPr>
        <w:ind w:left="4256" w:hanging="360"/>
      </w:pPr>
    </w:lvl>
    <w:lvl w:ilvl="5" w:tplc="0C09001B" w:tentative="1">
      <w:start w:val="1"/>
      <w:numFmt w:val="lowerRoman"/>
      <w:lvlText w:val="%6."/>
      <w:lvlJc w:val="right"/>
      <w:pPr>
        <w:ind w:left="4976" w:hanging="180"/>
      </w:pPr>
    </w:lvl>
    <w:lvl w:ilvl="6" w:tplc="0C09000F" w:tentative="1">
      <w:start w:val="1"/>
      <w:numFmt w:val="decimal"/>
      <w:lvlText w:val="%7."/>
      <w:lvlJc w:val="left"/>
      <w:pPr>
        <w:ind w:left="5696" w:hanging="360"/>
      </w:pPr>
    </w:lvl>
    <w:lvl w:ilvl="7" w:tplc="0C090019" w:tentative="1">
      <w:start w:val="1"/>
      <w:numFmt w:val="lowerLetter"/>
      <w:lvlText w:val="%8."/>
      <w:lvlJc w:val="left"/>
      <w:pPr>
        <w:ind w:left="6416" w:hanging="360"/>
      </w:pPr>
    </w:lvl>
    <w:lvl w:ilvl="8" w:tplc="0C09001B" w:tentative="1">
      <w:start w:val="1"/>
      <w:numFmt w:val="lowerRoman"/>
      <w:lvlText w:val="%9."/>
      <w:lvlJc w:val="right"/>
      <w:pPr>
        <w:ind w:left="7136" w:hanging="180"/>
      </w:pPr>
    </w:lvl>
  </w:abstractNum>
  <w:abstractNum w:abstractNumId="17" w15:restartNumberingAfterBreak="0">
    <w:nsid w:val="637B2E81"/>
    <w:multiLevelType w:val="hybridMultilevel"/>
    <w:tmpl w:val="9ED4C1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5245ECA"/>
    <w:multiLevelType w:val="hybridMultilevel"/>
    <w:tmpl w:val="87184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E07236"/>
    <w:multiLevelType w:val="hybridMultilevel"/>
    <w:tmpl w:val="81EA5734"/>
    <w:lvl w:ilvl="0" w:tplc="0C09001B">
      <w:start w:val="1"/>
      <w:numFmt w:val="lowerRoman"/>
      <w:lvlText w:val="%1."/>
      <w:lvlJc w:val="righ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0" w15:restartNumberingAfterBreak="0">
    <w:nsid w:val="6C996A55"/>
    <w:multiLevelType w:val="hybridMultilevel"/>
    <w:tmpl w:val="33A00676"/>
    <w:lvl w:ilvl="0" w:tplc="0C090019">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1" w15:restartNumberingAfterBreak="0">
    <w:nsid w:val="6CBB055F"/>
    <w:multiLevelType w:val="hybridMultilevel"/>
    <w:tmpl w:val="39D05FB0"/>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09006B2"/>
    <w:multiLevelType w:val="hybridMultilevel"/>
    <w:tmpl w:val="04C685B4"/>
    <w:lvl w:ilvl="0" w:tplc="0C090019">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3" w15:restartNumberingAfterBreak="0">
    <w:nsid w:val="72A32DF5"/>
    <w:multiLevelType w:val="hybridMultilevel"/>
    <w:tmpl w:val="50C06892"/>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72557B"/>
    <w:multiLevelType w:val="hybridMultilevel"/>
    <w:tmpl w:val="7082CAF2"/>
    <w:lvl w:ilvl="0" w:tplc="E8E8BBCE">
      <w:numFmt w:val="bullet"/>
      <w:lvlText w:val="•"/>
      <w:lvlJc w:val="left"/>
      <w:pPr>
        <w:ind w:left="1440" w:hanging="720"/>
      </w:pPr>
      <w:rPr>
        <w:rFonts w:ascii="Public Sans Light" w:eastAsiaTheme="minorHAnsi" w:hAnsi="Public Sans Light" w:cs="Times New Roman (Body C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6877733"/>
    <w:multiLevelType w:val="hybridMultilevel"/>
    <w:tmpl w:val="702CE56A"/>
    <w:lvl w:ilvl="0" w:tplc="2D0CA042">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C453FD"/>
    <w:multiLevelType w:val="hybridMultilevel"/>
    <w:tmpl w:val="9E9C6F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0C090019">
      <w:start w:val="1"/>
      <w:numFmt w:val="lowerLetter"/>
      <w:lvlText w:val="%9."/>
      <w:lvlJc w:val="left"/>
      <w:pPr>
        <w:ind w:left="8157" w:hanging="360"/>
      </w:pPr>
    </w:lvl>
  </w:abstractNum>
  <w:num w:numId="1" w16cid:durableId="923536358">
    <w:abstractNumId w:val="4"/>
  </w:num>
  <w:num w:numId="2" w16cid:durableId="325015777">
    <w:abstractNumId w:val="24"/>
  </w:num>
  <w:num w:numId="3" w16cid:durableId="909120335">
    <w:abstractNumId w:val="7"/>
  </w:num>
  <w:num w:numId="4" w16cid:durableId="490485250">
    <w:abstractNumId w:val="8"/>
  </w:num>
  <w:num w:numId="5" w16cid:durableId="544946929">
    <w:abstractNumId w:val="14"/>
  </w:num>
  <w:num w:numId="6" w16cid:durableId="1732386673">
    <w:abstractNumId w:val="1"/>
  </w:num>
  <w:num w:numId="7" w16cid:durableId="1854108174">
    <w:abstractNumId w:val="15"/>
  </w:num>
  <w:num w:numId="8" w16cid:durableId="1998997677">
    <w:abstractNumId w:val="13"/>
  </w:num>
  <w:num w:numId="9" w16cid:durableId="1843350068">
    <w:abstractNumId w:val="19"/>
  </w:num>
  <w:num w:numId="10" w16cid:durableId="1746799188">
    <w:abstractNumId w:val="16"/>
  </w:num>
  <w:num w:numId="11" w16cid:durableId="1269580477">
    <w:abstractNumId w:val="3"/>
  </w:num>
  <w:num w:numId="12" w16cid:durableId="848519956">
    <w:abstractNumId w:val="10"/>
  </w:num>
  <w:num w:numId="13" w16cid:durableId="1236354316">
    <w:abstractNumId w:val="23"/>
  </w:num>
  <w:num w:numId="14" w16cid:durableId="1667779687">
    <w:abstractNumId w:val="11"/>
  </w:num>
  <w:num w:numId="15" w16cid:durableId="970525625">
    <w:abstractNumId w:val="2"/>
  </w:num>
  <w:num w:numId="16" w16cid:durableId="437483085">
    <w:abstractNumId w:val="9"/>
  </w:num>
  <w:num w:numId="17" w16cid:durableId="932009507">
    <w:abstractNumId w:val="6"/>
  </w:num>
  <w:num w:numId="18" w16cid:durableId="43918663">
    <w:abstractNumId w:val="0"/>
  </w:num>
  <w:num w:numId="19" w16cid:durableId="32851908">
    <w:abstractNumId w:val="25"/>
  </w:num>
  <w:num w:numId="20" w16cid:durableId="1165708351">
    <w:abstractNumId w:val="17"/>
  </w:num>
  <w:num w:numId="21" w16cid:durableId="1653944367">
    <w:abstractNumId w:val="26"/>
  </w:num>
  <w:num w:numId="22" w16cid:durableId="1443568080">
    <w:abstractNumId w:val="22"/>
  </w:num>
  <w:num w:numId="23" w16cid:durableId="1428502767">
    <w:abstractNumId w:val="20"/>
  </w:num>
  <w:num w:numId="24" w16cid:durableId="1250847664">
    <w:abstractNumId w:val="21"/>
  </w:num>
  <w:num w:numId="25" w16cid:durableId="1628387155">
    <w:abstractNumId w:val="5"/>
  </w:num>
  <w:num w:numId="26" w16cid:durableId="210001791">
    <w:abstractNumId w:val="12"/>
  </w:num>
  <w:num w:numId="27" w16cid:durableId="16069640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0AE"/>
    <w:rsid w:val="00003C25"/>
    <w:rsid w:val="00052001"/>
    <w:rsid w:val="000574B3"/>
    <w:rsid w:val="0007381D"/>
    <w:rsid w:val="00081209"/>
    <w:rsid w:val="00085406"/>
    <w:rsid w:val="000C4763"/>
    <w:rsid w:val="000D055F"/>
    <w:rsid w:val="000D3041"/>
    <w:rsid w:val="000D6229"/>
    <w:rsid w:val="00103AB6"/>
    <w:rsid w:val="001177AF"/>
    <w:rsid w:val="00121477"/>
    <w:rsid w:val="001362C1"/>
    <w:rsid w:val="00151C69"/>
    <w:rsid w:val="00154F5E"/>
    <w:rsid w:val="00185B00"/>
    <w:rsid w:val="00185C3D"/>
    <w:rsid w:val="00193F16"/>
    <w:rsid w:val="001C387D"/>
    <w:rsid w:val="001D2184"/>
    <w:rsid w:val="001E0194"/>
    <w:rsid w:val="00214651"/>
    <w:rsid w:val="002278A3"/>
    <w:rsid w:val="0023390E"/>
    <w:rsid w:val="00267339"/>
    <w:rsid w:val="002A12D7"/>
    <w:rsid w:val="002D0495"/>
    <w:rsid w:val="00312A87"/>
    <w:rsid w:val="00315912"/>
    <w:rsid w:val="00353F41"/>
    <w:rsid w:val="00362F8E"/>
    <w:rsid w:val="00364EF1"/>
    <w:rsid w:val="00365C52"/>
    <w:rsid w:val="00367A85"/>
    <w:rsid w:val="00374880"/>
    <w:rsid w:val="00383F44"/>
    <w:rsid w:val="00395C73"/>
    <w:rsid w:val="003A4510"/>
    <w:rsid w:val="003D4F36"/>
    <w:rsid w:val="003F151D"/>
    <w:rsid w:val="004167FA"/>
    <w:rsid w:val="00441EC3"/>
    <w:rsid w:val="004470AE"/>
    <w:rsid w:val="00452BC5"/>
    <w:rsid w:val="00476BC9"/>
    <w:rsid w:val="004858EF"/>
    <w:rsid w:val="004C5F21"/>
    <w:rsid w:val="004D2BDA"/>
    <w:rsid w:val="004D7564"/>
    <w:rsid w:val="005167C9"/>
    <w:rsid w:val="00541ABA"/>
    <w:rsid w:val="00551936"/>
    <w:rsid w:val="005669BB"/>
    <w:rsid w:val="00577FAA"/>
    <w:rsid w:val="00595C8E"/>
    <w:rsid w:val="00644A72"/>
    <w:rsid w:val="00686D38"/>
    <w:rsid w:val="0069264D"/>
    <w:rsid w:val="00694556"/>
    <w:rsid w:val="006C34B9"/>
    <w:rsid w:val="006D4B40"/>
    <w:rsid w:val="006E2093"/>
    <w:rsid w:val="007249E7"/>
    <w:rsid w:val="00755B31"/>
    <w:rsid w:val="00771F52"/>
    <w:rsid w:val="00776F5A"/>
    <w:rsid w:val="00777339"/>
    <w:rsid w:val="00790BAB"/>
    <w:rsid w:val="00791F72"/>
    <w:rsid w:val="007B0143"/>
    <w:rsid w:val="007D3C21"/>
    <w:rsid w:val="007E0E54"/>
    <w:rsid w:val="0080377B"/>
    <w:rsid w:val="00806104"/>
    <w:rsid w:val="008321D6"/>
    <w:rsid w:val="00846D7A"/>
    <w:rsid w:val="00860EE3"/>
    <w:rsid w:val="00867566"/>
    <w:rsid w:val="00867FBF"/>
    <w:rsid w:val="008905DB"/>
    <w:rsid w:val="008A0D2E"/>
    <w:rsid w:val="008A4879"/>
    <w:rsid w:val="008D1EC9"/>
    <w:rsid w:val="008E4295"/>
    <w:rsid w:val="009003B9"/>
    <w:rsid w:val="00902EC7"/>
    <w:rsid w:val="00927611"/>
    <w:rsid w:val="00951E3E"/>
    <w:rsid w:val="009862E4"/>
    <w:rsid w:val="009A1CCF"/>
    <w:rsid w:val="009C005E"/>
    <w:rsid w:val="009E0ED8"/>
    <w:rsid w:val="009F6DD7"/>
    <w:rsid w:val="00A03C81"/>
    <w:rsid w:val="00A10B7A"/>
    <w:rsid w:val="00A15A0A"/>
    <w:rsid w:val="00A4281D"/>
    <w:rsid w:val="00A44974"/>
    <w:rsid w:val="00A53C53"/>
    <w:rsid w:val="00A557A9"/>
    <w:rsid w:val="00A57F92"/>
    <w:rsid w:val="00A63A06"/>
    <w:rsid w:val="00A96BE9"/>
    <w:rsid w:val="00AB15CE"/>
    <w:rsid w:val="00AB7E87"/>
    <w:rsid w:val="00AD4C51"/>
    <w:rsid w:val="00AE1A9B"/>
    <w:rsid w:val="00AE30C7"/>
    <w:rsid w:val="00B0784C"/>
    <w:rsid w:val="00B14DDB"/>
    <w:rsid w:val="00B27119"/>
    <w:rsid w:val="00B36811"/>
    <w:rsid w:val="00B522A3"/>
    <w:rsid w:val="00BA1277"/>
    <w:rsid w:val="00BC061C"/>
    <w:rsid w:val="00BC18BA"/>
    <w:rsid w:val="00BC69D7"/>
    <w:rsid w:val="00BD1D6E"/>
    <w:rsid w:val="00BE3060"/>
    <w:rsid w:val="00BF4D17"/>
    <w:rsid w:val="00C10B97"/>
    <w:rsid w:val="00C156C1"/>
    <w:rsid w:val="00C376C3"/>
    <w:rsid w:val="00C47316"/>
    <w:rsid w:val="00C51C7B"/>
    <w:rsid w:val="00C62307"/>
    <w:rsid w:val="00C65C8C"/>
    <w:rsid w:val="00CA52D1"/>
    <w:rsid w:val="00CA7D22"/>
    <w:rsid w:val="00CB4A23"/>
    <w:rsid w:val="00CD3EBD"/>
    <w:rsid w:val="00CE013C"/>
    <w:rsid w:val="00CE2B43"/>
    <w:rsid w:val="00CF46E6"/>
    <w:rsid w:val="00D00CDF"/>
    <w:rsid w:val="00D244B1"/>
    <w:rsid w:val="00D24B59"/>
    <w:rsid w:val="00D525DC"/>
    <w:rsid w:val="00D53C1F"/>
    <w:rsid w:val="00D76F46"/>
    <w:rsid w:val="00D850C0"/>
    <w:rsid w:val="00D861AC"/>
    <w:rsid w:val="00D926F6"/>
    <w:rsid w:val="00DB2E48"/>
    <w:rsid w:val="00DB6535"/>
    <w:rsid w:val="00DC7100"/>
    <w:rsid w:val="00E35CA6"/>
    <w:rsid w:val="00E57492"/>
    <w:rsid w:val="00E9193F"/>
    <w:rsid w:val="00E94FA5"/>
    <w:rsid w:val="00EB2540"/>
    <w:rsid w:val="00EC2AE0"/>
    <w:rsid w:val="00EC4E25"/>
    <w:rsid w:val="00EF3C8D"/>
    <w:rsid w:val="00F02AED"/>
    <w:rsid w:val="00F054FE"/>
    <w:rsid w:val="00F07BA0"/>
    <w:rsid w:val="00F306A6"/>
    <w:rsid w:val="00F35442"/>
    <w:rsid w:val="00F55008"/>
    <w:rsid w:val="00F63DD5"/>
    <w:rsid w:val="00F86F3F"/>
    <w:rsid w:val="00FA2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7218F"/>
  <w15:chartTrackingRefBased/>
  <w15:docId w15:val="{E3B50315-8152-0845-947B-DDFAB16D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C8C"/>
    <w:pPr>
      <w:spacing w:after="120"/>
      <w:outlineLvl w:val="0"/>
    </w:pPr>
    <w:rPr>
      <w:rFonts w:ascii="Gotham Rounded Medium" w:eastAsiaTheme="majorEastAsia" w:hAnsi="Gotham Rounded Medium"/>
      <w:color w:val="6E0564"/>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3C8D"/>
    <w:pPr>
      <w:widowControl w:val="0"/>
      <w:autoSpaceDE w:val="0"/>
      <w:autoSpaceDN w:val="0"/>
      <w:spacing w:after="120" w:line="276" w:lineRule="auto"/>
    </w:pPr>
    <w:rPr>
      <w:rFonts w:ascii="Public Sans Light" w:eastAsia="PublicSans-Light" w:hAnsi="Public Sans Light" w:cs="PublicSans-Light"/>
      <w:sz w:val="20"/>
      <w:szCs w:val="20"/>
    </w:rPr>
  </w:style>
  <w:style w:type="character" w:customStyle="1" w:styleId="BodyTextChar">
    <w:name w:val="Body Text Char"/>
    <w:basedOn w:val="DefaultParagraphFont"/>
    <w:link w:val="BodyText"/>
    <w:uiPriority w:val="1"/>
    <w:rsid w:val="00EF3C8D"/>
    <w:rPr>
      <w:rFonts w:ascii="Public Sans Light" w:eastAsia="PublicSans-Light" w:hAnsi="Public Sans Light" w:cs="PublicSans-Light"/>
      <w:sz w:val="20"/>
      <w:szCs w:val="20"/>
    </w:rPr>
  </w:style>
  <w:style w:type="paragraph" w:styleId="Header">
    <w:name w:val="header"/>
    <w:basedOn w:val="Normal"/>
    <w:link w:val="HeaderChar"/>
    <w:uiPriority w:val="99"/>
    <w:unhideWhenUsed/>
    <w:rsid w:val="004470AE"/>
    <w:pPr>
      <w:tabs>
        <w:tab w:val="center" w:pos="4513"/>
        <w:tab w:val="right" w:pos="9026"/>
      </w:tabs>
    </w:pPr>
  </w:style>
  <w:style w:type="character" w:customStyle="1" w:styleId="HeaderChar">
    <w:name w:val="Header Char"/>
    <w:basedOn w:val="DefaultParagraphFont"/>
    <w:link w:val="Header"/>
    <w:uiPriority w:val="99"/>
    <w:rsid w:val="004470AE"/>
  </w:style>
  <w:style w:type="paragraph" w:styleId="Footer">
    <w:name w:val="footer"/>
    <w:basedOn w:val="Normal"/>
    <w:link w:val="FooterChar"/>
    <w:uiPriority w:val="99"/>
    <w:unhideWhenUsed/>
    <w:rsid w:val="004470AE"/>
    <w:pPr>
      <w:tabs>
        <w:tab w:val="center" w:pos="4513"/>
        <w:tab w:val="right" w:pos="9026"/>
      </w:tabs>
    </w:pPr>
  </w:style>
  <w:style w:type="character" w:customStyle="1" w:styleId="FooterChar">
    <w:name w:val="Footer Char"/>
    <w:basedOn w:val="DefaultParagraphFont"/>
    <w:link w:val="Footer"/>
    <w:uiPriority w:val="99"/>
    <w:rsid w:val="004470AE"/>
  </w:style>
  <w:style w:type="paragraph" w:customStyle="1" w:styleId="NoParagraphStyle">
    <w:name w:val="[No Paragraph Style]"/>
    <w:rsid w:val="004470AE"/>
    <w:pPr>
      <w:autoSpaceDE w:val="0"/>
      <w:autoSpaceDN w:val="0"/>
      <w:adjustRightInd w:val="0"/>
      <w:spacing w:line="288" w:lineRule="auto"/>
      <w:textAlignment w:val="center"/>
    </w:pPr>
    <w:rPr>
      <w:rFonts w:ascii="MinionPro-Regular" w:hAnsi="MinionPro-Regular" w:cs="MinionPro-Regular"/>
      <w:color w:val="000000"/>
      <w:lang w:val="en-US"/>
    </w:rPr>
  </w:style>
  <w:style w:type="character" w:styleId="PageNumber">
    <w:name w:val="page number"/>
    <w:aliases w:val="running footers,or descriptor (A4)"/>
    <w:uiPriority w:val="99"/>
    <w:rsid w:val="004470AE"/>
    <w:rPr>
      <w:rFonts w:ascii="Public Sans" w:hAnsi="Public Sans" w:cs="Public Sans"/>
      <w:color w:val="000000"/>
      <w:sz w:val="16"/>
      <w:szCs w:val="16"/>
      <w:lang w:val="en-US"/>
    </w:rPr>
  </w:style>
  <w:style w:type="character" w:styleId="Hyperlink">
    <w:name w:val="Hyperlink"/>
    <w:basedOn w:val="DefaultParagraphFont"/>
    <w:uiPriority w:val="99"/>
    <w:unhideWhenUsed/>
    <w:rsid w:val="009003B9"/>
    <w:rPr>
      <w:color w:val="0563C1" w:themeColor="hyperlink"/>
      <w:u w:val="single"/>
    </w:rPr>
  </w:style>
  <w:style w:type="character" w:styleId="UnresolvedMention">
    <w:name w:val="Unresolved Mention"/>
    <w:basedOn w:val="DefaultParagraphFont"/>
    <w:uiPriority w:val="99"/>
    <w:semiHidden/>
    <w:unhideWhenUsed/>
    <w:rsid w:val="009003B9"/>
    <w:rPr>
      <w:color w:val="605E5C"/>
      <w:shd w:val="clear" w:color="auto" w:fill="E1DFDD"/>
    </w:rPr>
  </w:style>
  <w:style w:type="paragraph" w:customStyle="1" w:styleId="FooterDesctritor">
    <w:name w:val="Footer Desctritor"/>
    <w:basedOn w:val="NoParagraphStyle"/>
    <w:qFormat/>
    <w:rsid w:val="008A0D2E"/>
    <w:pPr>
      <w:suppressAutoHyphens/>
      <w:spacing w:line="360" w:lineRule="auto"/>
      <w:ind w:right="357"/>
    </w:pPr>
    <w:rPr>
      <w:rFonts w:ascii="Public Sans Light" w:hAnsi="Public Sans Light" w:cs="Public Sans Light"/>
      <w:color w:val="002664"/>
      <w:sz w:val="14"/>
      <w:szCs w:val="14"/>
    </w:rPr>
  </w:style>
  <w:style w:type="character" w:customStyle="1" w:styleId="Heading1Char">
    <w:name w:val="Heading 1 Char"/>
    <w:basedOn w:val="DefaultParagraphFont"/>
    <w:link w:val="Heading1"/>
    <w:uiPriority w:val="9"/>
    <w:rsid w:val="00C65C8C"/>
    <w:rPr>
      <w:rFonts w:ascii="Gotham Rounded Medium" w:eastAsiaTheme="majorEastAsia" w:hAnsi="Gotham Rounded Medium"/>
      <w:color w:val="6E0564"/>
      <w:sz w:val="32"/>
      <w:szCs w:val="20"/>
    </w:rPr>
  </w:style>
  <w:style w:type="paragraph" w:styleId="ListParagraph">
    <w:name w:val="List Paragraph"/>
    <w:basedOn w:val="Normal"/>
    <w:uiPriority w:val="34"/>
    <w:qFormat/>
    <w:rsid w:val="00F63DD5"/>
    <w:pPr>
      <w:ind w:left="720"/>
      <w:contextualSpacing/>
    </w:pPr>
  </w:style>
  <w:style w:type="numbering" w:customStyle="1" w:styleId="CurrentList1">
    <w:name w:val="Current List1"/>
    <w:uiPriority w:val="99"/>
    <w:rsid w:val="00F63DD5"/>
    <w:pPr>
      <w:numPr>
        <w:numId w:val="3"/>
      </w:numPr>
    </w:pPr>
  </w:style>
  <w:style w:type="paragraph" w:customStyle="1" w:styleId="BulletesList">
    <w:name w:val="Bulletes List"/>
    <w:basedOn w:val="ListParagraph"/>
    <w:qFormat/>
    <w:rsid w:val="00F63DD5"/>
    <w:pPr>
      <w:numPr>
        <w:numId w:val="4"/>
      </w:numPr>
      <w:spacing w:after="120" w:line="360" w:lineRule="auto"/>
      <w:ind w:left="714" w:hanging="357"/>
    </w:pPr>
    <w:rPr>
      <w:rFonts w:ascii="Public Sans Light" w:hAnsi="Public Sans Light" w:cs="Times New Roman (Body CS)"/>
      <w:sz w:val="20"/>
    </w:rPr>
  </w:style>
  <w:style w:type="paragraph" w:customStyle="1" w:styleId="Heading10">
    <w:name w:val="Heading1"/>
    <w:basedOn w:val="Normal"/>
    <w:qFormat/>
    <w:rsid w:val="00694556"/>
    <w:pPr>
      <w:tabs>
        <w:tab w:val="right" w:pos="8364"/>
      </w:tabs>
      <w:autoSpaceDE w:val="0"/>
      <w:autoSpaceDN w:val="0"/>
      <w:adjustRightInd w:val="0"/>
      <w:spacing w:after="480"/>
      <w:outlineLvl w:val="0"/>
    </w:pPr>
    <w:rPr>
      <w:rFonts w:ascii="Public Sans Medium" w:eastAsia="Times New Roman" w:hAnsi="Public Sans Medium" w:cs="Calibri Light (Headings)"/>
      <w:bCs/>
      <w:color w:val="364392"/>
      <w:sz w:val="44"/>
      <w:szCs w:val="56"/>
      <w:lang w:val="en-US" w:eastAsia="en-NZ"/>
    </w:rPr>
  </w:style>
  <w:style w:type="paragraph" w:customStyle="1" w:styleId="Headline">
    <w:name w:val="Headline"/>
    <w:basedOn w:val="Normal"/>
    <w:qFormat/>
    <w:rsid w:val="00B27119"/>
    <w:pPr>
      <w:pBdr>
        <w:bottom w:val="single" w:sz="4" w:space="3" w:color="000000" w:themeColor="text1"/>
      </w:pBdr>
      <w:spacing w:after="120"/>
    </w:pPr>
    <w:rPr>
      <w:rFonts w:ascii="Public Sans Light" w:hAnsi="Public Sans Light" w:cs="Arial"/>
      <w:color w:val="000000" w:themeColor="text1"/>
      <w:sz w:val="36"/>
      <w:szCs w:val="80"/>
    </w:rPr>
  </w:style>
  <w:style w:type="paragraph" w:customStyle="1" w:styleId="Dateontheright">
    <w:name w:val="Date on the right"/>
    <w:basedOn w:val="Normal"/>
    <w:qFormat/>
    <w:rsid w:val="00FA2C52"/>
    <w:pPr>
      <w:tabs>
        <w:tab w:val="right" w:pos="8364"/>
      </w:tabs>
      <w:autoSpaceDE w:val="0"/>
      <w:autoSpaceDN w:val="0"/>
      <w:adjustRightInd w:val="0"/>
      <w:spacing w:after="480"/>
      <w:ind w:right="-45"/>
      <w:outlineLvl w:val="0"/>
    </w:pPr>
    <w:rPr>
      <w:rFonts w:ascii="Public Sans Medium" w:eastAsia="Times New Roman" w:hAnsi="Public Sans Medium" w:cs="Calibri Light (Headings)"/>
      <w:bCs/>
      <w:color w:val="1E3A68"/>
      <w:sz w:val="22"/>
      <w:szCs w:val="56"/>
      <w:lang w:val="en-US" w:eastAsia="en-NZ"/>
    </w:rPr>
  </w:style>
  <w:style w:type="paragraph" w:customStyle="1" w:styleId="Heading2">
    <w:name w:val="Heading2"/>
    <w:basedOn w:val="Normal"/>
    <w:qFormat/>
    <w:rsid w:val="001362C1"/>
    <w:pPr>
      <w:spacing w:before="240" w:line="360" w:lineRule="auto"/>
    </w:pPr>
    <w:rPr>
      <w:rFonts w:ascii="Public Sans Medium" w:hAnsi="Public Sans Medium" w:cs="Times New Roman (Body CS)"/>
      <w:color w:val="364392"/>
      <w:sz w:val="25"/>
    </w:rPr>
  </w:style>
  <w:style w:type="paragraph" w:customStyle="1" w:styleId="Heading3">
    <w:name w:val="Heading3"/>
    <w:basedOn w:val="Normal"/>
    <w:qFormat/>
    <w:rsid w:val="001362C1"/>
    <w:pPr>
      <w:spacing w:before="120" w:line="360" w:lineRule="auto"/>
    </w:pPr>
    <w:rPr>
      <w:rFonts w:ascii="Public Sans Medium" w:hAnsi="Public Sans Medium" w:cs="Times New Roman (Body CS)"/>
      <w:sz w:val="22"/>
    </w:rPr>
  </w:style>
  <w:style w:type="paragraph" w:customStyle="1" w:styleId="Disclaimer">
    <w:name w:val="Disclaimer"/>
    <w:basedOn w:val="BodyText"/>
    <w:qFormat/>
    <w:rsid w:val="001C387D"/>
    <w:pPr>
      <w:pBdr>
        <w:top w:val="single" w:sz="4" w:space="4" w:color="auto"/>
        <w:bottom w:val="single" w:sz="4" w:space="4" w:color="auto"/>
      </w:pBdr>
    </w:pPr>
    <w:rPr>
      <w:i/>
      <w:sz w:val="16"/>
    </w:rPr>
  </w:style>
  <w:style w:type="paragraph" w:customStyle="1" w:styleId="FOOTERcoverpage">
    <w:name w:val="FOOTER cover page"/>
    <w:basedOn w:val="NoParagraphStyle"/>
    <w:qFormat/>
    <w:rsid w:val="00867566"/>
    <w:pPr>
      <w:suppressAutoHyphens/>
      <w:spacing w:line="276" w:lineRule="auto"/>
    </w:pPr>
    <w:rPr>
      <w:rFonts w:ascii="Public Sans Light" w:hAnsi="Public Sans Light" w:cs="Public Sans Light"/>
      <w:color w:val="0C2C74"/>
      <w:sz w:val="14"/>
      <w:szCs w:val="14"/>
    </w:rPr>
  </w:style>
  <w:style w:type="paragraph" w:customStyle="1" w:styleId="Disclaimertitle">
    <w:name w:val="Disclaimer title"/>
    <w:basedOn w:val="Disclaimer"/>
    <w:qFormat/>
    <w:rsid w:val="001C387D"/>
    <w:rPr>
      <w:i w:val="0"/>
      <w:iCs/>
      <w:color w:val="E3371D"/>
    </w:rPr>
  </w:style>
  <w:style w:type="character" w:styleId="FollowedHyperlink">
    <w:name w:val="FollowedHyperlink"/>
    <w:basedOn w:val="DefaultParagraphFont"/>
    <w:uiPriority w:val="99"/>
    <w:semiHidden/>
    <w:unhideWhenUsed/>
    <w:rsid w:val="00185C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itects.nsw.gov.au/download/Report%20on%20Systemic%20Risks%20for%20the%20Architecture%20Sector%20in%20Australia.pdf"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chitects.nsw.gov.au/logi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aca.org.au/national-standard-of-competency-for-architects/2021ns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rchitects.nsw.gov.au/download/2024%20OVERVIEW%20OF%20DEEP%20DIVE%20REPORT.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rchitects.nsw.gov.au/download/2024%20DETAILED%20OF%20DEEP%20DIVE%20REPORT.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architects.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87456-2821-CB45-BBE3-6FC447452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Luan</dc:creator>
  <cp:keywords/>
  <dc:description/>
  <cp:lastModifiedBy>Registrar</cp:lastModifiedBy>
  <cp:revision>5</cp:revision>
  <cp:lastPrinted>2025-03-27T03:09:00Z</cp:lastPrinted>
  <dcterms:created xsi:type="dcterms:W3CDTF">2025-03-27T02:53:00Z</dcterms:created>
  <dcterms:modified xsi:type="dcterms:W3CDTF">2025-03-31T01:50:00Z</dcterms:modified>
</cp:coreProperties>
</file>